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5" w:rsidRDefault="003F44D5" w:rsidP="003F44D5">
      <w:pPr>
        <w:snapToGrid w:val="0"/>
        <w:spacing w:line="480" w:lineRule="auto"/>
        <w:jc w:val="both"/>
      </w:pPr>
      <w:r>
        <w:rPr>
          <w:b/>
          <w:bCs/>
        </w:rPr>
        <w:t xml:space="preserve">Supplementary Table 2. Survival of ACLF patients based on the type of </w:t>
      </w:r>
      <w:r>
        <w:rPr>
          <w:rFonts w:hint="eastAsia"/>
          <w:b/>
          <w:bCs/>
        </w:rPr>
        <w:t xml:space="preserve">failed organ </w:t>
      </w:r>
      <w:r>
        <w:rPr>
          <w:b/>
          <w:bCs/>
        </w:rPr>
        <w:t>in patients with MEHOF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785"/>
        <w:gridCol w:w="1873"/>
        <w:gridCol w:w="1873"/>
        <w:gridCol w:w="1493"/>
        <w:gridCol w:w="832"/>
      </w:tblGrid>
      <w:tr w:rsidR="003F44D5" w:rsidTr="0083464F">
        <w:trPr>
          <w:trHeight w:val="604"/>
        </w:trPr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Subgroup (</w:t>
            </w:r>
            <w:r w:rsidRPr="00A51CA8"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=10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28-day survival (%)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90-day survival (%)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OR (95%CI)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 w:rsidR="003F44D5" w:rsidTr="0083464F">
        <w:trPr>
          <w:trHeight w:val="604"/>
        </w:trPr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  <w:r>
              <w:t>Brain failure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No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Yes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49.2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45.7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31.3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29.1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Ref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0.94 (0.57-1.54)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0.791</w:t>
            </w:r>
          </w:p>
        </w:tc>
      </w:tr>
      <w:tr w:rsidR="003F44D5" w:rsidTr="0083464F"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  <w:r>
              <w:t>Renal failure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No</w:t>
            </w:r>
          </w:p>
          <w:p w:rsidR="003F44D5" w:rsidRDefault="003F44D5" w:rsidP="0083464F">
            <w:pPr>
              <w:snapToGrid w:val="0"/>
              <w:spacing w:line="480" w:lineRule="auto"/>
              <w:rPr>
                <w:highlight w:val="yellow"/>
              </w:rPr>
            </w:pPr>
            <w:r>
              <w:t>Yes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47.2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49.1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28.6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32.2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Ref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0.98 (0.63-1.53)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0.937</w:t>
            </w:r>
          </w:p>
        </w:tc>
      </w:tr>
      <w:tr w:rsidR="003F44D5" w:rsidTr="0083464F"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  <w:r>
              <w:t>Coagulation failure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No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Yes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100.0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46.7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0.0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31.3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Ref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1.34 (0.33-5.50)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0.681</w:t>
            </w:r>
          </w:p>
        </w:tc>
      </w:tr>
      <w:tr w:rsidR="003F44D5" w:rsidTr="0083464F"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  <w:r>
              <w:t>Respiratory or circulatory failure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No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Yes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46.8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51.5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34.7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19.5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Ref</w:t>
            </w:r>
          </w:p>
          <w:p w:rsidR="003F44D5" w:rsidRDefault="003F44D5" w:rsidP="0083464F">
            <w:pPr>
              <w:snapToGrid w:val="0"/>
              <w:spacing w:line="480" w:lineRule="auto"/>
            </w:pPr>
            <w:r>
              <w:t>1.14 (0.71-1.85)</w:t>
            </w:r>
          </w:p>
        </w:tc>
        <w:tc>
          <w:tcPr>
            <w:tcW w:w="0" w:type="auto"/>
          </w:tcPr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</w:p>
          <w:p w:rsidR="003F44D5" w:rsidRDefault="003F44D5" w:rsidP="0083464F">
            <w:pPr>
              <w:snapToGrid w:val="0"/>
              <w:spacing w:line="480" w:lineRule="auto"/>
            </w:pPr>
            <w:r>
              <w:t>0.593</w:t>
            </w:r>
          </w:p>
        </w:tc>
      </w:tr>
    </w:tbl>
    <w:p w:rsidR="003F44D5" w:rsidRDefault="003F44D5" w:rsidP="003F44D5">
      <w:pPr>
        <w:snapToGrid w:val="0"/>
        <w:spacing w:line="480" w:lineRule="auto"/>
        <w:jc w:val="both"/>
      </w:pPr>
      <w:r>
        <w:t>ACLF, acute-on-chronic liver failure</w:t>
      </w:r>
      <w:r>
        <w:rPr>
          <w:rFonts w:hint="eastAsia"/>
        </w:rPr>
        <w:t>; MEHOF, multiple extrahepatic organ failure</w:t>
      </w:r>
      <w:r>
        <w:t>.</w:t>
      </w:r>
    </w:p>
    <w:p w:rsidR="001645FA" w:rsidRDefault="001645FA"/>
    <w:sectPr w:rsidR="001645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3F44D5"/>
    <w:rsid w:val="001645FA"/>
    <w:rsid w:val="003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autoRedefine/>
    <w:uiPriority w:val="99"/>
    <w:qFormat/>
    <w:rsid w:val="003F44D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2024-01-26T07:12:00Z</dcterms:created>
  <dcterms:modified xsi:type="dcterms:W3CDTF">2024-01-26T07:12:00Z</dcterms:modified>
</cp:coreProperties>
</file>