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06" w:rsidRDefault="00321006" w:rsidP="00321006">
      <w:pPr>
        <w:snapToGrid w:val="0"/>
        <w:spacing w:line="480" w:lineRule="auto"/>
        <w:jc w:val="both"/>
        <w:rPr>
          <w:b/>
          <w:bCs/>
        </w:rPr>
      </w:pPr>
      <w:r>
        <w:rPr>
          <w:b/>
          <w:bCs/>
        </w:rPr>
        <w:t>Supplementary Table 1. Univariate and multivariate logistic regression of the risk factors for the development of EHOF</w:t>
      </w:r>
    </w:p>
    <w:tbl>
      <w:tblPr>
        <w:tblStyle w:val="TableGrid"/>
        <w:tblW w:w="3943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71"/>
        <w:gridCol w:w="2025"/>
        <w:gridCol w:w="1873"/>
        <w:gridCol w:w="915"/>
      </w:tblGrid>
      <w:tr w:rsidR="00321006" w:rsidTr="0083464F">
        <w:tc>
          <w:tcPr>
            <w:tcW w:w="1554" w:type="pct"/>
            <w:vMerge w:val="restar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Factor</w:t>
            </w:r>
          </w:p>
        </w:tc>
        <w:tc>
          <w:tcPr>
            <w:tcW w:w="1450" w:type="pct"/>
            <w:vMerge w:val="restar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</w:rPr>
              <w:t>-value</w:t>
            </w:r>
            <w:r>
              <w:rPr>
                <w:rFonts w:hint="eastAsia"/>
                <w:b/>
                <w:bCs/>
              </w:rPr>
              <w:t xml:space="preserve"> for </w:t>
            </w:r>
            <w:r>
              <w:rPr>
                <w:b/>
                <w:bCs/>
              </w:rPr>
              <w:t>univariate</w:t>
            </w:r>
          </w:p>
        </w:tc>
        <w:tc>
          <w:tcPr>
            <w:tcW w:w="1996" w:type="pct"/>
            <w:gridSpan w:val="2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Multivariate</w:t>
            </w:r>
          </w:p>
        </w:tc>
      </w:tr>
      <w:tr w:rsidR="00321006" w:rsidTr="0083464F">
        <w:tc>
          <w:tcPr>
            <w:tcW w:w="1554" w:type="pct"/>
            <w:vMerge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  <w:rPr>
                <w:b/>
                <w:bCs/>
              </w:rPr>
            </w:pPr>
          </w:p>
        </w:tc>
        <w:tc>
          <w:tcPr>
            <w:tcW w:w="1450" w:type="pct"/>
            <w:vMerge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  <w:rPr>
                <w:b/>
                <w:bCs/>
              </w:rPr>
            </w:pP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OR (95% CI)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</w:rPr>
              <w:t>-value</w:t>
            </w:r>
          </w:p>
        </w:tc>
      </w:tr>
      <w:tr w:rsidR="00321006" w:rsidTr="0083464F">
        <w:tc>
          <w:tcPr>
            <w:tcW w:w="1554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Age</w:t>
            </w:r>
          </w:p>
        </w:tc>
        <w:tc>
          <w:tcPr>
            <w:tcW w:w="1450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0.002</w:t>
            </w: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1.03 (1.01-1.05)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0.002</w:t>
            </w:r>
          </w:p>
        </w:tc>
      </w:tr>
      <w:tr w:rsidR="00321006" w:rsidTr="0083464F">
        <w:tc>
          <w:tcPr>
            <w:tcW w:w="1554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Sex</w:t>
            </w:r>
          </w:p>
        </w:tc>
        <w:tc>
          <w:tcPr>
            <w:tcW w:w="1450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0.346</w:t>
            </w: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</w:tr>
      <w:tr w:rsidR="00321006" w:rsidTr="0083464F">
        <w:trPr>
          <w:trHeight w:val="1219"/>
        </w:trPr>
        <w:tc>
          <w:tcPr>
            <w:tcW w:w="1554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Etiology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HBV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Alcohol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HBV+alcohol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Others</w:t>
            </w:r>
          </w:p>
        </w:tc>
        <w:tc>
          <w:tcPr>
            <w:tcW w:w="1450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</w:p>
          <w:p w:rsidR="00321006" w:rsidRDefault="00321006" w:rsidP="0083464F">
            <w:pPr>
              <w:snapToGrid w:val="0"/>
              <w:spacing w:line="480" w:lineRule="auto"/>
            </w:pPr>
          </w:p>
          <w:p w:rsidR="00321006" w:rsidRDefault="00321006" w:rsidP="0083464F">
            <w:pPr>
              <w:snapToGrid w:val="0"/>
              <w:spacing w:line="480" w:lineRule="auto"/>
            </w:pPr>
            <w:r>
              <w:t>0.474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0.566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0.459</w:t>
            </w: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</w:tr>
      <w:tr w:rsidR="00321006" w:rsidTr="0083464F">
        <w:tc>
          <w:tcPr>
            <w:tcW w:w="1554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WGO type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A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B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C</w:t>
            </w:r>
          </w:p>
        </w:tc>
        <w:tc>
          <w:tcPr>
            <w:tcW w:w="1450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  <w:rPr>
                <w:highlight w:val="yellow"/>
              </w:rPr>
            </w:pPr>
          </w:p>
          <w:p w:rsidR="00321006" w:rsidRDefault="00321006" w:rsidP="0083464F">
            <w:pPr>
              <w:snapToGrid w:val="0"/>
              <w:spacing w:line="480" w:lineRule="auto"/>
              <w:rPr>
                <w:highlight w:val="yellow"/>
              </w:rPr>
            </w:pPr>
          </w:p>
          <w:p w:rsidR="00321006" w:rsidRDefault="00321006" w:rsidP="0083464F">
            <w:pPr>
              <w:snapToGrid w:val="0"/>
              <w:spacing w:line="480" w:lineRule="auto"/>
            </w:pPr>
            <w:r>
              <w:t>0.236</w:t>
            </w:r>
          </w:p>
          <w:p w:rsidR="00321006" w:rsidRDefault="00321006" w:rsidP="0083464F">
            <w:pPr>
              <w:snapToGrid w:val="0"/>
              <w:spacing w:line="480" w:lineRule="auto"/>
              <w:rPr>
                <w:highlight w:val="yellow"/>
              </w:rPr>
            </w:pPr>
            <w:r>
              <w:t>0.094</w:t>
            </w: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  <w:rPr>
                <w:highlight w:val="yellow"/>
              </w:rPr>
            </w:pPr>
            <w:r>
              <w:t>N/A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</w:tr>
      <w:tr w:rsidR="00321006" w:rsidTr="0083464F">
        <w:tc>
          <w:tcPr>
            <w:tcW w:w="1554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Insult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Not identified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Hepatic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Extrahepatic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Both</w:t>
            </w:r>
          </w:p>
        </w:tc>
        <w:tc>
          <w:tcPr>
            <w:tcW w:w="1450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</w:p>
          <w:p w:rsidR="00321006" w:rsidRDefault="00321006" w:rsidP="0083464F">
            <w:pPr>
              <w:snapToGrid w:val="0"/>
              <w:spacing w:line="480" w:lineRule="auto"/>
            </w:pPr>
          </w:p>
          <w:p w:rsidR="00321006" w:rsidRDefault="00321006" w:rsidP="0083464F">
            <w:pPr>
              <w:snapToGrid w:val="0"/>
              <w:spacing w:line="480" w:lineRule="auto"/>
            </w:pPr>
            <w:r>
              <w:t>0.598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0.721</w:t>
            </w:r>
          </w:p>
          <w:p w:rsidR="00321006" w:rsidRDefault="00321006" w:rsidP="0083464F">
            <w:pPr>
              <w:snapToGrid w:val="0"/>
              <w:spacing w:line="480" w:lineRule="auto"/>
            </w:pPr>
            <w:r>
              <w:t>0.479</w:t>
            </w: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</w:tr>
      <w:tr w:rsidR="00321006" w:rsidTr="0083464F">
        <w:tc>
          <w:tcPr>
            <w:tcW w:w="1554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Bacterial infection</w:t>
            </w:r>
          </w:p>
        </w:tc>
        <w:tc>
          <w:tcPr>
            <w:tcW w:w="1450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0.001</w:t>
            </w: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2.02 (1.33-3.05)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0.001</w:t>
            </w:r>
          </w:p>
        </w:tc>
      </w:tr>
      <w:tr w:rsidR="00321006" w:rsidTr="0083464F">
        <w:tc>
          <w:tcPr>
            <w:tcW w:w="1554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Ascites</w:t>
            </w:r>
          </w:p>
        </w:tc>
        <w:tc>
          <w:tcPr>
            <w:tcW w:w="1450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0.603</w:t>
            </w: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</w:tr>
      <w:tr w:rsidR="00321006" w:rsidTr="0083464F">
        <w:tc>
          <w:tcPr>
            <w:tcW w:w="1554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ALT</w:t>
            </w:r>
          </w:p>
        </w:tc>
        <w:tc>
          <w:tcPr>
            <w:tcW w:w="1450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0.798</w:t>
            </w: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</w:tr>
      <w:tr w:rsidR="00321006" w:rsidTr="0083464F">
        <w:tc>
          <w:tcPr>
            <w:tcW w:w="1554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AST</w:t>
            </w:r>
          </w:p>
        </w:tc>
        <w:tc>
          <w:tcPr>
            <w:tcW w:w="1450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0.535</w:t>
            </w: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tabs>
                <w:tab w:val="left" w:pos="698"/>
              </w:tabs>
              <w:snapToGrid w:val="0"/>
              <w:spacing w:line="480" w:lineRule="auto"/>
            </w:pPr>
            <w:r>
              <w:t>N/A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</w:tr>
      <w:tr w:rsidR="00321006" w:rsidTr="0083464F">
        <w:tc>
          <w:tcPr>
            <w:tcW w:w="1554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Alb</w:t>
            </w:r>
          </w:p>
        </w:tc>
        <w:tc>
          <w:tcPr>
            <w:tcW w:w="1450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0.408</w:t>
            </w: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</w:tr>
      <w:tr w:rsidR="00321006" w:rsidTr="0083464F">
        <w:tc>
          <w:tcPr>
            <w:tcW w:w="1554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TBil</w:t>
            </w:r>
          </w:p>
        </w:tc>
        <w:tc>
          <w:tcPr>
            <w:tcW w:w="1450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0.392</w:t>
            </w: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</w:tr>
      <w:tr w:rsidR="00321006" w:rsidTr="0083464F">
        <w:tc>
          <w:tcPr>
            <w:tcW w:w="1554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lastRenderedPageBreak/>
              <w:t>Hb, g/L</w:t>
            </w:r>
          </w:p>
        </w:tc>
        <w:tc>
          <w:tcPr>
            <w:tcW w:w="1450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0.534</w:t>
            </w: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</w:tr>
      <w:tr w:rsidR="00321006" w:rsidTr="0083464F">
        <w:tc>
          <w:tcPr>
            <w:tcW w:w="1554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WBC, ×10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1450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0.297</w:t>
            </w:r>
          </w:p>
        </w:tc>
        <w:tc>
          <w:tcPr>
            <w:tcW w:w="1341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  <w:tc>
          <w:tcPr>
            <w:tcW w:w="655" w:type="pct"/>
            <w:tcBorders>
              <w:tl2br w:val="nil"/>
              <w:tr2bl w:val="nil"/>
            </w:tcBorders>
          </w:tcPr>
          <w:p w:rsidR="00321006" w:rsidRDefault="00321006" w:rsidP="0083464F">
            <w:pPr>
              <w:snapToGrid w:val="0"/>
              <w:spacing w:line="480" w:lineRule="auto"/>
            </w:pPr>
            <w:r>
              <w:t>N/A</w:t>
            </w:r>
          </w:p>
        </w:tc>
      </w:tr>
    </w:tbl>
    <w:p w:rsidR="00321006" w:rsidRPr="00E31384" w:rsidRDefault="00321006" w:rsidP="00321006">
      <w:pPr>
        <w:snapToGrid w:val="0"/>
        <w:spacing w:line="480" w:lineRule="auto"/>
        <w:jc w:val="both"/>
      </w:pPr>
      <w:r>
        <w:t xml:space="preserve">Variables with </w:t>
      </w:r>
      <w:r>
        <w:rPr>
          <w:i/>
          <w:iCs/>
        </w:rPr>
        <w:t>p</w:t>
      </w:r>
      <w:r>
        <w:t xml:space="preserve">&gt;0.05 in the univariate regression were not included for multivariate regressions. Patients who had EHOF within 24 h after admission were excluded from the investigation of risk factors for EHOF. Acute variceal bleeding was not included as it was associated with coagulation failure. Variables with </w:t>
      </w:r>
      <w:r>
        <w:rPr>
          <w:i/>
          <w:iCs/>
        </w:rPr>
        <w:t>p</w:t>
      </w:r>
      <w:r>
        <w:t>&gt;0.05 in the univariate regression were not included for multivariate regressions.</w:t>
      </w:r>
      <w:r>
        <w:rPr>
          <w:rFonts w:hint="eastAsia"/>
        </w:rPr>
        <w:t xml:space="preserve"> </w:t>
      </w:r>
      <w:r>
        <w:t xml:space="preserve">Alb, albumin; ALT, Alanine aminotransferase; AST, Aspartate aminotransferase; BUN, blood urea nitrogen; </w:t>
      </w:r>
      <w:r>
        <w:rPr>
          <w:rFonts w:eastAsia="宋体"/>
        </w:rPr>
        <w:t>EHOF, extrahepatic organ failure;</w:t>
      </w:r>
      <w:r>
        <w:rPr>
          <w:rFonts w:eastAsia="宋体" w:hint="eastAsia"/>
        </w:rPr>
        <w:t xml:space="preserve"> </w:t>
      </w:r>
      <w:r>
        <w:rPr>
          <w:rFonts w:eastAsia="宋体"/>
        </w:rPr>
        <w:t xml:space="preserve">HBV, </w:t>
      </w:r>
      <w:r>
        <w:t>hepatitis B virus; Hb, hemoglobin; TBil, total bilirubin; WBC, white blood cell; WGO, World Gastroenterology Organization</w:t>
      </w:r>
      <w:r>
        <w:rPr>
          <w:rFonts w:eastAsia="宋体"/>
        </w:rPr>
        <w:t>.</w:t>
      </w:r>
    </w:p>
    <w:p w:rsidR="00297440" w:rsidRDefault="00297440"/>
    <w:sectPr w:rsidR="002974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321006"/>
    <w:rsid w:val="00297440"/>
    <w:rsid w:val="0032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autoRedefine/>
    <w:uiPriority w:val="99"/>
    <w:qFormat/>
    <w:rsid w:val="0032100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2024-01-26T07:12:00Z</dcterms:created>
  <dcterms:modified xsi:type="dcterms:W3CDTF">2024-01-26T07:12:00Z</dcterms:modified>
</cp:coreProperties>
</file>