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3E" w:rsidRPr="00C86108" w:rsidRDefault="00AE063E" w:rsidP="00AE063E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Toc65661294"/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Pr="00C86108">
        <w:rPr>
          <w:rFonts w:ascii="Times New Roman" w:hAnsi="Times New Roman" w:cs="Times New Roman"/>
          <w:b/>
          <w:sz w:val="20"/>
          <w:szCs w:val="20"/>
        </w:rPr>
        <w:t xml:space="preserve"> Table 3.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C86108">
        <w:rPr>
          <w:rFonts w:ascii="Times New Roman" w:hAnsi="Times New Roman" w:cs="Times New Roman"/>
          <w:b/>
          <w:sz w:val="20"/>
          <w:szCs w:val="20"/>
        </w:rPr>
        <w:t xml:space="preserve">dentifying criteria </w:t>
      </w:r>
      <w:r>
        <w:rPr>
          <w:rFonts w:ascii="Times New Roman" w:hAnsi="Times New Roman" w:cs="Times New Roman"/>
          <w:b/>
          <w:sz w:val="20"/>
          <w:szCs w:val="20"/>
        </w:rPr>
        <w:t>of</w:t>
      </w:r>
      <w:r w:rsidRPr="00C86108">
        <w:rPr>
          <w:rFonts w:ascii="Times New Roman" w:hAnsi="Times New Roman" w:cs="Times New Roman"/>
          <w:b/>
          <w:sz w:val="20"/>
          <w:szCs w:val="20"/>
        </w:rPr>
        <w:t xml:space="preserve"> incident and prevalent diseases</w:t>
      </w:r>
      <w:bookmarkEnd w:id="0"/>
    </w:p>
    <w:tbl>
      <w:tblPr>
        <w:tblStyle w:val="PlainTable2"/>
        <w:tblW w:w="8217" w:type="dxa"/>
        <w:tblInd w:w="5" w:type="dxa"/>
        <w:tblLook w:val="04A0"/>
      </w:tblPr>
      <w:tblGrid>
        <w:gridCol w:w="1536"/>
        <w:gridCol w:w="2586"/>
        <w:gridCol w:w="1492"/>
        <w:gridCol w:w="1362"/>
        <w:gridCol w:w="1241"/>
      </w:tblGrid>
      <w:tr w:rsidR="00AE063E" w:rsidRPr="00C86108" w:rsidTr="00270224">
        <w:trPr>
          <w:cnfStyle w:val="100000000000"/>
        </w:trPr>
        <w:tc>
          <w:tcPr>
            <w:cnfStyle w:val="001000000000"/>
            <w:tcW w:w="1271" w:type="dxa"/>
          </w:tcPr>
          <w:p w:rsidR="00AE063E" w:rsidRPr="00C86108" w:rsidRDefault="00AE063E" w:rsidP="00270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</w:p>
        </w:tc>
        <w:tc>
          <w:tcPr>
            <w:tcW w:w="2693" w:type="dxa"/>
          </w:tcPr>
          <w:p w:rsidR="00AE063E" w:rsidRPr="00C86108" w:rsidRDefault="00AE063E" w:rsidP="00270224">
            <w:pPr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Incident diseases</w:t>
            </w:r>
          </w:p>
        </w:tc>
        <w:tc>
          <w:tcPr>
            <w:tcW w:w="4253" w:type="dxa"/>
            <w:gridSpan w:val="3"/>
            <w:vAlign w:val="center"/>
          </w:tcPr>
          <w:p w:rsidR="00AE063E" w:rsidRPr="00C86108" w:rsidRDefault="00AE063E" w:rsidP="00270224">
            <w:pPr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Prevalent diseases</w:t>
            </w:r>
          </w:p>
        </w:tc>
      </w:tr>
      <w:tr w:rsidR="00AE063E" w:rsidRPr="00C86108" w:rsidTr="00270224">
        <w:trPr>
          <w:cnfStyle w:val="000000100000"/>
        </w:trPr>
        <w:tc>
          <w:tcPr>
            <w:cnfStyle w:val="001000000000"/>
            <w:tcW w:w="1271" w:type="dxa"/>
          </w:tcPr>
          <w:p w:rsidR="00AE063E" w:rsidRPr="00C86108" w:rsidRDefault="00AE063E" w:rsidP="00270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ICD-10 codes</w:t>
            </w:r>
          </w:p>
        </w:tc>
        <w:tc>
          <w:tcPr>
            <w:tcW w:w="1560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 xml:space="preserve">ICD-10 codes </w:t>
            </w:r>
          </w:p>
        </w:tc>
        <w:tc>
          <w:tcPr>
            <w:tcW w:w="1417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ICD-9 codes</w:t>
            </w:r>
          </w:p>
        </w:tc>
        <w:tc>
          <w:tcPr>
            <w:tcW w:w="1276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Self-reported code used in UK Biobank</w:t>
            </w:r>
          </w:p>
        </w:tc>
      </w:tr>
      <w:tr w:rsidR="00AE063E" w:rsidRPr="00C86108" w:rsidTr="00270224">
        <w:tc>
          <w:tcPr>
            <w:cnfStyle w:val="001000000000"/>
            <w:tcW w:w="1271" w:type="dxa"/>
          </w:tcPr>
          <w:p w:rsidR="00AE063E" w:rsidRPr="00A74CC4" w:rsidRDefault="00AE063E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Liver diseases</w:t>
            </w:r>
          </w:p>
        </w:tc>
        <w:tc>
          <w:tcPr>
            <w:tcW w:w="2693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Alcoholic cirrhosis of liver: K70.3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Cirrhosis, compensated: K74.6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Esophageal varices, not bleeding: I85.9, I98.2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Gastric varices, not bleeding: I86.4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Esophageal varices, bleeding: I85.0, I98.3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Ascites: R18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Hepatorenal syndrome: K76.7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Portal hypertension: K76.6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Liver Transplantation: Z94.4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HCC: C22.0</w:t>
            </w:r>
          </w:p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Liver cancer, unspecified: C22.9</w:t>
            </w:r>
          </w:p>
        </w:tc>
        <w:tc>
          <w:tcPr>
            <w:tcW w:w="1560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B16-19.x, K70.0–K70.3, K70.9, K71.3–K71.5, K71.7, K73.x, K74.0-K74.2, K76.0, K76.2–K76.4, K76.8, K76.9, Z94.4, I85.0, I85.9, I86.4, I98.2, K70.4, K71.1, K72.1, K72.9, K76.5, K76.6, K76.7, K74.3-K74.6, C22.0-C22.9, K75.4</w:t>
            </w:r>
          </w:p>
        </w:tc>
        <w:tc>
          <w:tcPr>
            <w:tcW w:w="1417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571.2, 571.4-571.6, 456.0-456.21, 572.2-572.8</w:t>
            </w:r>
          </w:p>
        </w:tc>
        <w:tc>
          <w:tcPr>
            <w:tcW w:w="1276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1506, 1155-1160, 1604, 1136, 1024</w:t>
            </w:r>
          </w:p>
        </w:tc>
      </w:tr>
      <w:tr w:rsidR="00AE063E" w:rsidRPr="00C86108" w:rsidTr="00270224">
        <w:trPr>
          <w:cnfStyle w:val="000000100000"/>
        </w:trPr>
        <w:tc>
          <w:tcPr>
            <w:cnfStyle w:val="001000000000"/>
            <w:tcW w:w="1271" w:type="dxa"/>
          </w:tcPr>
          <w:p w:rsidR="00AE063E" w:rsidRPr="00A74CC4" w:rsidRDefault="00AE063E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Cardiovascular diseases</w:t>
            </w:r>
          </w:p>
        </w:tc>
        <w:tc>
          <w:tcPr>
            <w:tcW w:w="2693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I21.x, I22.x, I25.2, I09.9, I11.0, I13.0, I13.2, I25.5, I42.0, I42.5–I42.9, I43.x, I50.x, P29.0</w:t>
            </w:r>
          </w:p>
        </w:tc>
        <w:tc>
          <w:tcPr>
            <w:tcW w:w="1560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I21.x, I22.x, I25.2, I09.9, I11.0, I13.0, I13.2, I25.5, I42.0, I42.5–I42.9, I43.x, I50.x, P29.0</w:t>
            </w:r>
          </w:p>
        </w:tc>
        <w:tc>
          <w:tcPr>
            <w:tcW w:w="1417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410.x, 412.x; 428.x</w:t>
            </w:r>
          </w:p>
        </w:tc>
        <w:tc>
          <w:tcPr>
            <w:tcW w:w="1276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1066, 1074-1080</w:t>
            </w:r>
          </w:p>
        </w:tc>
      </w:tr>
      <w:tr w:rsidR="00AE063E" w:rsidRPr="00C86108" w:rsidTr="00270224">
        <w:tc>
          <w:tcPr>
            <w:cnfStyle w:val="001000000000"/>
            <w:tcW w:w="1271" w:type="dxa"/>
          </w:tcPr>
          <w:p w:rsidR="00AE063E" w:rsidRPr="00A74CC4" w:rsidRDefault="00AE063E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Chronic kidney diseases</w:t>
            </w:r>
          </w:p>
        </w:tc>
        <w:tc>
          <w:tcPr>
            <w:tcW w:w="2693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I12.0, I13.1, N03.2–N03.7, N05.2–N05.7, N18.x, N19.x, N25.0, Z49.0–Z49.2, Z94.0, Z99.2</w:t>
            </w:r>
          </w:p>
        </w:tc>
        <w:tc>
          <w:tcPr>
            <w:tcW w:w="1560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I12.0, I13.1, N03.2–N03.7, N05.2–N05.7, N18.x, N19.x, N25.0, Z49.0–Z49.2, Z94.0, Z99.2</w:t>
            </w:r>
          </w:p>
        </w:tc>
        <w:tc>
          <w:tcPr>
            <w:tcW w:w="1417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582.x, 583-583.7, 585.x, 586.x, 588.x</w:t>
            </w:r>
          </w:p>
        </w:tc>
        <w:tc>
          <w:tcPr>
            <w:tcW w:w="1276" w:type="dxa"/>
          </w:tcPr>
          <w:p w:rsidR="00AE063E" w:rsidRPr="00C86108" w:rsidRDefault="00AE063E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1192-1197, 1405</w:t>
            </w:r>
          </w:p>
        </w:tc>
      </w:tr>
      <w:tr w:rsidR="00AE063E" w:rsidRPr="00C86108" w:rsidTr="00270224">
        <w:trPr>
          <w:cnfStyle w:val="000000100000"/>
        </w:trPr>
        <w:tc>
          <w:tcPr>
            <w:cnfStyle w:val="001000000000"/>
            <w:tcW w:w="1271" w:type="dxa"/>
          </w:tcPr>
          <w:p w:rsidR="00AE063E" w:rsidRPr="00A74CC4" w:rsidRDefault="00AE063E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Cancers</w:t>
            </w:r>
          </w:p>
        </w:tc>
        <w:tc>
          <w:tcPr>
            <w:tcW w:w="2693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C00.x–C26.x, C30.x–C34.x, C37.x–C41.x, C43.x, C45.x–C58.x, C60.x–C76.x, C81.x–C86.x, C88.x, C90.x–C97.x, excluding C22.0, C22.9</w:t>
            </w:r>
          </w:p>
        </w:tc>
        <w:tc>
          <w:tcPr>
            <w:tcW w:w="1560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C00.x–C26.x, C30.x–C34.x, C37.x–C41.x, C43.x, C45.x–C58.x, C60.x–C76.x, C81.x–C86.x, C88.x, C90.x–C97.x</w:t>
            </w:r>
          </w:p>
        </w:tc>
        <w:tc>
          <w:tcPr>
            <w:tcW w:w="1417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140.x-172.x, 174.x-195.8, 200.x-208.x</w:t>
            </w:r>
          </w:p>
        </w:tc>
        <w:tc>
          <w:tcPr>
            <w:tcW w:w="1276" w:type="dxa"/>
          </w:tcPr>
          <w:p w:rsidR="00AE063E" w:rsidRPr="00C86108" w:rsidRDefault="00AE063E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1004-1023, 1025-1088</w:t>
            </w:r>
          </w:p>
        </w:tc>
      </w:tr>
    </w:tbl>
    <w:p w:rsidR="00AE063E" w:rsidRPr="008A3FFA" w:rsidRDefault="00AE063E" w:rsidP="00AE063E">
      <w:pPr>
        <w:jc w:val="both"/>
        <w:rPr>
          <w:rFonts w:ascii="Times New Roman" w:hAnsi="Times New Roman" w:cs="Times New Roman"/>
          <w:iCs/>
        </w:rPr>
      </w:pPr>
      <w:r w:rsidRPr="00303FC7">
        <w:rPr>
          <w:rFonts w:ascii="Times New Roman" w:hAnsi="Times New Roman" w:cs="Times New Roman"/>
        </w:rPr>
        <w:t xml:space="preserve">The disease code </w:t>
      </w:r>
      <w:r>
        <w:rPr>
          <w:rFonts w:ascii="Times New Roman" w:hAnsi="Times New Roman" w:cs="Times New Roman"/>
        </w:rPr>
        <w:t>reference:</w:t>
      </w:r>
      <w:r w:rsidRPr="00303FC7">
        <w:rPr>
          <w:rFonts w:ascii="Times New Roman" w:hAnsi="Times New Roman" w:cs="Times New Roman"/>
        </w:rPr>
        <w:t xml:space="preserve"> </w:t>
      </w:r>
      <w:r w:rsidRPr="00303FC7">
        <w:rPr>
          <w:rFonts w:ascii="Times New Roman" w:hAnsi="Times New Roman" w:cs="Times New Roman"/>
          <w:i/>
        </w:rPr>
        <w:t xml:space="preserve">Medical Care </w:t>
      </w:r>
      <w:r w:rsidRPr="008A3FFA">
        <w:rPr>
          <w:rFonts w:ascii="Times New Roman" w:hAnsi="Times New Roman" w:cs="Times New Roman"/>
          <w:iCs/>
        </w:rPr>
        <w:t>2005;43(11):1130-1139</w:t>
      </w:r>
      <w:r>
        <w:rPr>
          <w:rFonts w:ascii="Times New Roman" w:hAnsi="Times New Roman" w:cs="Times New Roman"/>
          <w:iCs/>
        </w:rPr>
        <w:t>,</w:t>
      </w:r>
      <w:r w:rsidRPr="00303FC7">
        <w:rPr>
          <w:rFonts w:ascii="Times New Roman" w:hAnsi="Times New Roman" w:cs="Times New Roman"/>
          <w:i/>
        </w:rPr>
        <w:t xml:space="preserve"> and Hepatology </w:t>
      </w:r>
      <w:r w:rsidRPr="008A3FFA">
        <w:rPr>
          <w:rFonts w:ascii="Times New Roman" w:hAnsi="Times New Roman" w:cs="Times New Roman"/>
          <w:iCs/>
        </w:rPr>
        <w:t>2021; doi: 10.1002/hep.31726.</w:t>
      </w:r>
    </w:p>
    <w:p w:rsidR="00CE79DC" w:rsidRDefault="00CE79DC"/>
    <w:sectPr w:rsidR="00CE79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E063E"/>
    <w:rsid w:val="00AE063E"/>
    <w:rsid w:val="00C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AE063E"/>
    <w:pPr>
      <w:spacing w:after="0" w:line="240" w:lineRule="auto"/>
    </w:pPr>
    <w:rPr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2022-11-06T07:36:00Z</dcterms:created>
  <dcterms:modified xsi:type="dcterms:W3CDTF">2022-11-06T07:36:00Z</dcterms:modified>
</cp:coreProperties>
</file>