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B1" w:rsidRPr="003430AA" w:rsidRDefault="00C024B1" w:rsidP="00C024B1">
      <w:pPr>
        <w:jc w:val="both"/>
        <w:outlineLvl w:val="0"/>
        <w:rPr>
          <w:rFonts w:ascii="Times New Roman" w:hAnsi="Times New Roman" w:cs="Times New Roman"/>
        </w:rPr>
      </w:pPr>
      <w:bookmarkStart w:id="0" w:name="_Toc65661298"/>
      <w:r w:rsidRPr="00ED5AD6">
        <w:rPr>
          <w:rFonts w:ascii="Times New Roman" w:hAnsi="Times New Roman" w:cs="Times New Roman"/>
          <w:b/>
        </w:rPr>
        <w:t>Supplementary</w:t>
      </w:r>
      <w:r w:rsidRPr="00303FC7">
        <w:rPr>
          <w:rFonts w:ascii="Times New Roman" w:hAnsi="Times New Roman" w:cs="Times New Roman"/>
          <w:b/>
        </w:rPr>
        <w:t xml:space="preserve"> Fig</w:t>
      </w:r>
      <w:r>
        <w:rPr>
          <w:rFonts w:ascii="Times New Roman" w:hAnsi="Times New Roman" w:cs="Times New Roman"/>
          <w:b/>
        </w:rPr>
        <w:t>.</w:t>
      </w:r>
      <w:r w:rsidRPr="00303FC7">
        <w:rPr>
          <w:rFonts w:ascii="Times New Roman" w:hAnsi="Times New Roman" w:cs="Times New Roman"/>
          <w:b/>
        </w:rPr>
        <w:t xml:space="preserve"> 5. The associations of AFLD and NAFLD with significant liver diseases (SLDs), cardiovascular diseases (CVDs), chronic kidney diseases (CKDs), and cancer among UK Biobank participants who had a follow-up &gt;6 months and different metabolic phenotypes.</w:t>
      </w:r>
      <w:bookmarkEnd w:id="0"/>
      <w:r>
        <w:rPr>
          <w:rFonts w:ascii="Times New Roman" w:hAnsi="Times New Roman" w:cs="Times New Roman"/>
          <w:b/>
        </w:rPr>
        <w:t xml:space="preserve"> </w:t>
      </w:r>
      <w:r w:rsidRPr="00303FC7">
        <w:rPr>
          <w:rFonts w:ascii="Times New Roman" w:hAnsi="Times New Roman" w:cs="Times New Roman"/>
        </w:rPr>
        <w:t>MHC, metabolic healthy control; MHNW, metabolically healthy-normal weight; MHO, metabolically healthy-overweight; MONW, metabolically obese-normal weight; MOO, metabolically obese-overweight.</w:t>
      </w:r>
    </w:p>
    <w:p w:rsidR="00C024B1" w:rsidRDefault="00C024B1" w:rsidP="00C024B1">
      <w:pPr>
        <w:jc w:val="both"/>
        <w:rPr>
          <w:rFonts w:ascii="Times New Roman" w:hAnsi="Times New Roman" w:cs="Times New Roman"/>
        </w:rPr>
      </w:pPr>
      <w:r w:rsidRPr="00303FC7">
        <w:rPr>
          <w:rFonts w:ascii="Times New Roman" w:hAnsi="Times New Roman" w:cs="Times New Roman"/>
          <w:noProof/>
        </w:rPr>
        <w:drawing>
          <wp:inline distT="0" distB="0" distL="0" distR="0">
            <wp:extent cx="4330800" cy="46800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gure S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800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page"/>
      </w:r>
    </w:p>
    <w:p w:rsidR="00B519C2" w:rsidRDefault="00B519C2"/>
    <w:sectPr w:rsidR="00B519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C024B1"/>
    <w:rsid w:val="00B519C2"/>
    <w:rsid w:val="00C0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2022-11-06T07:35:00Z</dcterms:created>
  <dcterms:modified xsi:type="dcterms:W3CDTF">2022-11-06T07:35:00Z</dcterms:modified>
</cp:coreProperties>
</file>