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F4" w:rsidRDefault="00D534C1" w:rsidP="00D534C1">
      <w:pPr>
        <w:snapToGrid w:val="0"/>
        <w:spacing w:after="0" w:line="480" w:lineRule="auto"/>
        <w:jc w:val="both"/>
        <w:rPr>
          <w:rFonts w:ascii="Times New Roman" w:hAnsi="Times New Roman" w:cs="Times New Roman" w:hint="eastAsia"/>
          <w:b/>
          <w:szCs w:val="24"/>
          <w:lang w:eastAsia="zh-CN"/>
        </w:rPr>
      </w:pPr>
      <w:proofErr w:type="gramStart"/>
      <w:r w:rsidRPr="00D534C1">
        <w:rPr>
          <w:rFonts w:ascii="Times New Roman" w:hAnsi="Times New Roman" w:cs="Times New Roman"/>
          <w:b/>
          <w:szCs w:val="24"/>
        </w:rPr>
        <w:t>Supplemental Table 1.</w:t>
      </w:r>
      <w:proofErr w:type="gramEnd"/>
      <w:r w:rsidRPr="00D534C1">
        <w:rPr>
          <w:rFonts w:ascii="Times New Roman" w:hAnsi="Times New Roman" w:cs="Times New Roman"/>
          <w:b/>
          <w:szCs w:val="24"/>
        </w:rPr>
        <w:t xml:space="preserve"> Clinical trials in PVT</w:t>
      </w:r>
    </w:p>
    <w:tbl>
      <w:tblPr>
        <w:tblStyle w:val="1-1"/>
        <w:tblpPr w:leftFromText="180" w:rightFromText="180" w:vertAnchor="page" w:horzAnchor="margin" w:tblpY="148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621"/>
        <w:gridCol w:w="4890"/>
        <w:gridCol w:w="5670"/>
        <w:gridCol w:w="2693"/>
      </w:tblGrid>
      <w:tr w:rsidR="006A77F4" w:rsidRPr="00D534C1" w:rsidTr="00FF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A77F4" w:rsidRPr="00D534C1" w:rsidRDefault="006A77F4" w:rsidP="00FF53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34C1">
              <w:rPr>
                <w:rFonts w:ascii="Times New Roman" w:hAnsi="Times New Roman" w:cs="Times New Roman"/>
                <w:color w:val="auto"/>
                <w:szCs w:val="24"/>
              </w:rPr>
              <w:t>Study</w:t>
            </w:r>
          </w:p>
        </w:tc>
        <w:tc>
          <w:tcPr>
            <w:tcW w:w="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A77F4" w:rsidRPr="00D534C1" w:rsidRDefault="006A77F4" w:rsidP="00FF538C">
            <w:pPr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</w:pPr>
            <w:r w:rsidRPr="00D534C1"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  <w:t>n</w:t>
            </w:r>
          </w:p>
        </w:tc>
        <w:tc>
          <w:tcPr>
            <w:tcW w:w="4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A77F4" w:rsidRPr="00D534C1" w:rsidRDefault="006A77F4" w:rsidP="00FF538C">
            <w:pPr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34C1">
              <w:rPr>
                <w:rFonts w:ascii="Times New Roman" w:hAnsi="Times New Roman" w:cs="Times New Roman"/>
                <w:color w:val="auto"/>
                <w:szCs w:val="24"/>
              </w:rPr>
              <w:t>Design/setting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A77F4" w:rsidRPr="00D534C1" w:rsidRDefault="006A77F4" w:rsidP="00FF538C">
            <w:pPr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34C1">
              <w:rPr>
                <w:rFonts w:ascii="Times New Roman" w:hAnsi="Times New Roman" w:cs="Times New Roman"/>
                <w:color w:val="auto"/>
                <w:szCs w:val="24"/>
              </w:rPr>
              <w:t>Results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A77F4" w:rsidRPr="00D534C1" w:rsidRDefault="006A77F4" w:rsidP="00FF538C">
            <w:pPr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34C1">
              <w:rPr>
                <w:rFonts w:ascii="Times New Roman" w:hAnsi="Times New Roman" w:cs="Times New Roman"/>
                <w:color w:val="auto"/>
                <w:szCs w:val="24"/>
              </w:rPr>
              <w:t>Complications</w:t>
            </w:r>
          </w:p>
        </w:tc>
      </w:tr>
      <w:tr w:rsidR="006A77F4" w:rsidRPr="00D534C1" w:rsidTr="00FF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5"/>
            <w:shd w:val="clear" w:color="auto" w:fill="C4BC96" w:themeFill="background2" w:themeFillShade="BF"/>
            <w:vAlign w:val="center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kern w:val="24"/>
              </w:rPr>
            </w:pPr>
            <w:r w:rsidRPr="00D534C1">
              <w:rPr>
                <w:kern w:val="24"/>
              </w:rPr>
              <w:t>Cirrhotic treatment</w:t>
            </w:r>
          </w:p>
        </w:tc>
      </w:tr>
      <w:tr w:rsidR="006A77F4" w:rsidRPr="00D534C1" w:rsidTr="00FF5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rFonts w:eastAsiaTheme="minorEastAsia"/>
                <w:bCs w:val="0"/>
                <w:kern w:val="24"/>
                <w:lang w:eastAsia="zh-CN"/>
              </w:rPr>
            </w:pPr>
            <w:r w:rsidRPr="00D534C1">
              <w:rPr>
                <w:bCs w:val="0"/>
                <w:kern w:val="24"/>
              </w:rPr>
              <w:t>Senzolo,</w:t>
            </w:r>
            <w:r w:rsidRPr="00D534C1">
              <w:rPr>
                <w:rFonts w:eastAsiaTheme="minorEastAsia"/>
                <w:bCs w:val="0"/>
                <w:kern w:val="24"/>
                <w:vertAlign w:val="superscript"/>
                <w:lang w:eastAsia="zh-CN"/>
              </w:rPr>
              <w:t>86</w:t>
            </w:r>
            <w:r w:rsidRPr="00D534C1">
              <w:rPr>
                <w:bCs w:val="0"/>
                <w:kern w:val="24"/>
              </w:rPr>
              <w:t xml:space="preserve"> 2012</w:t>
            </w:r>
          </w:p>
        </w:tc>
        <w:tc>
          <w:tcPr>
            <w:tcW w:w="621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56</w:t>
            </w:r>
          </w:p>
        </w:tc>
        <w:tc>
          <w:tcPr>
            <w:tcW w:w="489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hint="eastAsia"/>
                <w:lang w:eastAsia="zh-CN"/>
              </w:rPr>
            </w:pPr>
            <w:r w:rsidRPr="00D534C1">
              <w:rPr>
                <w:bCs/>
                <w:kern w:val="24"/>
              </w:rPr>
              <w:t>Prosp</w:t>
            </w:r>
            <w:r>
              <w:rPr>
                <w:bCs/>
                <w:kern w:val="24"/>
              </w:rPr>
              <w:t>ective matched controlled study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Cirrhotic with acute PVT or thrombotic extension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LMWH (</w:t>
            </w:r>
            <w:proofErr w:type="spellStart"/>
            <w:r w:rsidRPr="00D534C1">
              <w:rPr>
                <w:bCs/>
                <w:kern w:val="24"/>
              </w:rPr>
              <w:t>nadroparin</w:t>
            </w:r>
            <w:proofErr w:type="spellEnd"/>
            <w:r w:rsidRPr="00D534C1">
              <w:rPr>
                <w:bCs/>
                <w:kern w:val="24"/>
              </w:rPr>
              <w:t xml:space="preserve">) and TIPS 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Cs/>
                <w:kern w:val="24"/>
                <w:lang w:eastAsia="zh-CN"/>
              </w:rPr>
            </w:pPr>
            <w:r w:rsidRPr="00D534C1">
              <w:rPr>
                <w:bCs/>
                <w:kern w:val="24"/>
              </w:rPr>
              <w:t>Thrombus progression: 5/33 (intervention) vs. 15/21 (C)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D534C1">
              <w:rPr>
                <w:kern w:val="24"/>
              </w:rPr>
              <w:t>Variceal</w:t>
            </w:r>
            <w:proofErr w:type="spellEnd"/>
            <w:r w:rsidRPr="00D534C1">
              <w:rPr>
                <w:kern w:val="24"/>
              </w:rPr>
              <w:t xml:space="preserve"> bleeding: 5 (C) vs. 1 (AC)  (</w:t>
            </w:r>
            <w:r w:rsidRPr="00D534C1">
              <w:rPr>
                <w:i/>
                <w:kern w:val="24"/>
              </w:rPr>
              <w:t>p</w:t>
            </w:r>
            <w:r w:rsidRPr="00D534C1">
              <w:rPr>
                <w:kern w:val="24"/>
              </w:rPr>
              <w:t>=0.09)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kern w:val="24"/>
              </w:rPr>
              <w:t>Intestinal ischemia: 2 (C) vs. 0 (AC)</w:t>
            </w:r>
          </w:p>
        </w:tc>
        <w:tc>
          <w:tcPr>
            <w:tcW w:w="2693" w:type="dxa"/>
            <w:tcBorders>
              <w:lef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Major bleeding: 1 central nervous bleed in AC arm</w:t>
            </w:r>
          </w:p>
        </w:tc>
      </w:tr>
      <w:tr w:rsidR="006A77F4" w:rsidRPr="00D534C1" w:rsidTr="00FF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</w:pPr>
            <w:r w:rsidRPr="00D534C1">
              <w:rPr>
                <w:kern w:val="24"/>
              </w:rPr>
              <w:t>Scheiner,</w:t>
            </w:r>
            <w:r w:rsidRPr="00D534C1">
              <w:rPr>
                <w:rFonts w:eastAsiaTheme="minorEastAsia"/>
                <w:kern w:val="24"/>
                <w:vertAlign w:val="superscript"/>
                <w:lang w:eastAsia="zh-CN"/>
              </w:rPr>
              <w:t>87</w:t>
            </w:r>
            <w:r w:rsidRPr="00D534C1">
              <w:rPr>
                <w:kern w:val="24"/>
              </w:rPr>
              <w:t xml:space="preserve"> 2017</w:t>
            </w:r>
          </w:p>
        </w:tc>
        <w:tc>
          <w:tcPr>
            <w:tcW w:w="621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51</w:t>
            </w:r>
          </w:p>
        </w:tc>
        <w:tc>
          <w:tcPr>
            <w:tcW w:w="489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Retrospective cohort  study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Nonmalignant cirrhotic patients with PVT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Early anticoagulation: LMWH, VKA or DOACs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PVT regression: 58% (AC) vs. 28% (C) (</w:t>
            </w:r>
            <w:r w:rsidRPr="00D534C1">
              <w:rPr>
                <w:i/>
                <w:iCs/>
                <w:kern w:val="24"/>
              </w:rPr>
              <w:t>p</w:t>
            </w:r>
            <w:r w:rsidRPr="00D534C1">
              <w:rPr>
                <w:kern w:val="24"/>
              </w:rPr>
              <w:t>=0.08) for long-term AC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Liver enzyme: Unaffected by AC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4"/>
                <w:lang w:eastAsia="zh-CN"/>
              </w:rPr>
            </w:pPr>
            <w:r w:rsidRPr="00D534C1">
              <w:rPr>
                <w:kern w:val="24"/>
              </w:rPr>
              <w:t>Synthetic function: Trend towards improvement in AC group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Ascites: Unaffected by AC</w:t>
            </w:r>
          </w:p>
        </w:tc>
        <w:tc>
          <w:tcPr>
            <w:tcW w:w="2693" w:type="dxa"/>
            <w:tcBorders>
              <w:lef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534C1">
              <w:rPr>
                <w:kern w:val="24"/>
              </w:rPr>
              <w:t>Variceal</w:t>
            </w:r>
            <w:proofErr w:type="spellEnd"/>
            <w:r w:rsidRPr="00D534C1">
              <w:rPr>
                <w:kern w:val="24"/>
              </w:rPr>
              <w:t xml:space="preserve"> bleeding: 33% (AC) vs. 44% (C)</w:t>
            </w:r>
          </w:p>
        </w:tc>
      </w:tr>
      <w:tr w:rsidR="006A77F4" w:rsidRPr="00D534C1" w:rsidTr="00FF5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b w:val="0"/>
              </w:rPr>
            </w:pPr>
            <w:r w:rsidRPr="00D534C1">
              <w:rPr>
                <w:kern w:val="24"/>
              </w:rPr>
              <w:t>Delgado,</w:t>
            </w:r>
            <w:r w:rsidRPr="00D534C1">
              <w:rPr>
                <w:rFonts w:eastAsiaTheme="minorEastAsia"/>
                <w:kern w:val="24"/>
                <w:vertAlign w:val="superscript"/>
                <w:lang w:eastAsia="zh-CN"/>
              </w:rPr>
              <w:t>89</w:t>
            </w:r>
            <w:r w:rsidRPr="00D534C1">
              <w:rPr>
                <w:kern w:val="24"/>
              </w:rPr>
              <w:t xml:space="preserve"> 2012</w:t>
            </w:r>
          </w:p>
        </w:tc>
        <w:tc>
          <w:tcPr>
            <w:tcW w:w="621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kern w:val="24"/>
              </w:rPr>
              <w:t>55</w:t>
            </w:r>
          </w:p>
        </w:tc>
        <w:tc>
          <w:tcPr>
            <w:tcW w:w="489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kern w:val="24"/>
              </w:rPr>
              <w:t>Retrospective cohort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kern w:val="24"/>
              </w:rPr>
              <w:t>Cirrhotic patients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D534C1">
              <w:rPr>
                <w:kern w:val="24"/>
              </w:rPr>
              <w:t xml:space="preserve">Acute or </w:t>
            </w:r>
            <w:proofErr w:type="spellStart"/>
            <w:r w:rsidRPr="00D534C1">
              <w:rPr>
                <w:kern w:val="24"/>
              </w:rPr>
              <w:t>subacute</w:t>
            </w:r>
            <w:proofErr w:type="spellEnd"/>
            <w:r w:rsidRPr="00D534C1">
              <w:rPr>
                <w:kern w:val="24"/>
              </w:rPr>
              <w:t xml:space="preserve"> PVT  or thrombosis progression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kern w:val="24"/>
              </w:rPr>
              <w:t>LMWH or VKA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kern w:val="24"/>
              </w:rPr>
              <w:t>Recanalization: 60%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hint="eastAsia"/>
                <w:lang w:eastAsia="zh-CN"/>
              </w:rPr>
            </w:pPr>
            <w:proofErr w:type="spellStart"/>
            <w:r w:rsidRPr="00D534C1">
              <w:rPr>
                <w:kern w:val="24"/>
              </w:rPr>
              <w:t>Rethrombosis</w:t>
            </w:r>
            <w:proofErr w:type="spellEnd"/>
            <w:r w:rsidRPr="00D534C1">
              <w:rPr>
                <w:kern w:val="24"/>
              </w:rPr>
              <w:t xml:space="preserve"> occurred in 38% after AC st</w:t>
            </w:r>
            <w:r>
              <w:rPr>
                <w:kern w:val="24"/>
              </w:rPr>
              <w:t>opped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D534C1">
              <w:rPr>
                <w:kern w:val="24"/>
              </w:rPr>
              <w:t>Recanalized</w:t>
            </w:r>
            <w:proofErr w:type="spellEnd"/>
            <w:r w:rsidRPr="00D534C1">
              <w:rPr>
                <w:kern w:val="24"/>
              </w:rPr>
              <w:t xml:space="preserve"> patients suffered less complications (trend)</w:t>
            </w:r>
          </w:p>
        </w:tc>
        <w:tc>
          <w:tcPr>
            <w:tcW w:w="2693" w:type="dxa"/>
            <w:tcBorders>
              <w:lef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kern w:val="24"/>
              </w:rPr>
              <w:t xml:space="preserve">Bleeding: 10/55 (18%) -5 due to </w:t>
            </w:r>
            <w:proofErr w:type="spellStart"/>
            <w:r w:rsidRPr="00D534C1">
              <w:rPr>
                <w:kern w:val="24"/>
              </w:rPr>
              <w:t>variceal</w:t>
            </w:r>
            <w:proofErr w:type="spellEnd"/>
            <w:r w:rsidRPr="00D534C1">
              <w:rPr>
                <w:kern w:val="24"/>
              </w:rPr>
              <w:t xml:space="preserve"> bleeding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34C1">
              <w:rPr>
                <w:kern w:val="24"/>
              </w:rPr>
              <w:t>Three died but unrelated to AC</w:t>
            </w:r>
          </w:p>
        </w:tc>
      </w:tr>
      <w:tr w:rsidR="006A77F4" w:rsidRPr="00D534C1" w:rsidTr="00FF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b w:val="0"/>
              </w:rPr>
            </w:pPr>
            <w:r w:rsidRPr="00D534C1">
              <w:rPr>
                <w:bCs w:val="0"/>
                <w:kern w:val="24"/>
              </w:rPr>
              <w:t>Armitrano,</w:t>
            </w:r>
            <w:r w:rsidRPr="00D534C1">
              <w:rPr>
                <w:rFonts w:eastAsiaTheme="minorEastAsia"/>
                <w:bCs w:val="0"/>
                <w:kern w:val="24"/>
                <w:vertAlign w:val="superscript"/>
                <w:lang w:eastAsia="zh-CN"/>
              </w:rPr>
              <w:t>84</w:t>
            </w:r>
            <w:r w:rsidRPr="00D534C1">
              <w:rPr>
                <w:bCs w:val="0"/>
                <w:kern w:val="24"/>
              </w:rPr>
              <w:t xml:space="preserve"> 2010</w:t>
            </w:r>
          </w:p>
        </w:tc>
        <w:tc>
          <w:tcPr>
            <w:tcW w:w="621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28</w:t>
            </w:r>
          </w:p>
        </w:tc>
        <w:tc>
          <w:tcPr>
            <w:tcW w:w="489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Retrospective cohort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Symptomatic acute PVT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Cirrhotic/</w:t>
            </w:r>
            <w:proofErr w:type="spellStart"/>
            <w:r w:rsidRPr="00D534C1">
              <w:rPr>
                <w:bCs/>
                <w:kern w:val="24"/>
              </w:rPr>
              <w:t>noncirrhotic</w:t>
            </w:r>
            <w:proofErr w:type="spellEnd"/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 w:rsidRPr="00D534C1">
              <w:rPr>
                <w:bCs/>
                <w:kern w:val="24"/>
              </w:rPr>
              <w:t>Pretransplant</w:t>
            </w:r>
            <w:proofErr w:type="spellEnd"/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Enoxaparin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Recanalization: 33% complete, 50% partial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No transplant outcome</w:t>
            </w:r>
          </w:p>
        </w:tc>
        <w:tc>
          <w:tcPr>
            <w:tcW w:w="2693" w:type="dxa"/>
            <w:tcBorders>
              <w:lef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No bleeding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bCs/>
                <w:kern w:val="24"/>
              </w:rPr>
              <w:t>No complication</w:t>
            </w:r>
          </w:p>
        </w:tc>
      </w:tr>
      <w:tr w:rsidR="006A77F4" w:rsidRPr="00D534C1" w:rsidTr="00FF5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5"/>
            <w:shd w:val="clear" w:color="auto" w:fill="C4BC96" w:themeFill="background2" w:themeFillShade="BF"/>
            <w:vAlign w:val="center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kern w:val="24"/>
              </w:rPr>
            </w:pPr>
            <w:proofErr w:type="spellStart"/>
            <w:r w:rsidRPr="00D534C1">
              <w:rPr>
                <w:kern w:val="24"/>
              </w:rPr>
              <w:t>Noncirrhotic</w:t>
            </w:r>
            <w:proofErr w:type="spellEnd"/>
            <w:r w:rsidRPr="00D534C1">
              <w:rPr>
                <w:kern w:val="24"/>
              </w:rPr>
              <w:t xml:space="preserve"> treatment</w:t>
            </w:r>
          </w:p>
        </w:tc>
      </w:tr>
      <w:tr w:rsidR="006A77F4" w:rsidRPr="00D534C1" w:rsidTr="00FF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b w:val="0"/>
              </w:rPr>
            </w:pPr>
            <w:r w:rsidRPr="00D534C1">
              <w:rPr>
                <w:kern w:val="24"/>
              </w:rPr>
              <w:t>Plessier,</w:t>
            </w:r>
            <w:r w:rsidRPr="00D534C1">
              <w:rPr>
                <w:rFonts w:eastAsiaTheme="minorEastAsia"/>
                <w:kern w:val="24"/>
                <w:vertAlign w:val="superscript"/>
                <w:lang w:eastAsia="zh-CN"/>
              </w:rPr>
              <w:t>26</w:t>
            </w:r>
            <w:r w:rsidRPr="00D534C1">
              <w:rPr>
                <w:kern w:val="24"/>
                <w:vertAlign w:val="superscript"/>
              </w:rPr>
              <w:t xml:space="preserve"> </w:t>
            </w:r>
            <w:r w:rsidRPr="00D534C1">
              <w:rPr>
                <w:kern w:val="24"/>
              </w:rPr>
              <w:t>2010</w:t>
            </w:r>
          </w:p>
        </w:tc>
        <w:tc>
          <w:tcPr>
            <w:tcW w:w="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102</w:t>
            </w:r>
          </w:p>
        </w:tc>
        <w:tc>
          <w:tcPr>
            <w:tcW w:w="48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Prospective, multicenter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 xml:space="preserve">PVT in </w:t>
            </w:r>
            <w:proofErr w:type="spellStart"/>
            <w:r w:rsidRPr="00D534C1">
              <w:rPr>
                <w:kern w:val="24"/>
              </w:rPr>
              <w:t>noncirrhotic</w:t>
            </w:r>
            <w:proofErr w:type="spellEnd"/>
            <w:r w:rsidRPr="00D534C1">
              <w:rPr>
                <w:kern w:val="24"/>
              </w:rPr>
              <w:t xml:space="preserve"> and no HCC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LMWH, unfractionated and VKA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Recanalization: 38%</w:t>
            </w:r>
          </w:p>
        </w:tc>
        <w:tc>
          <w:tcPr>
            <w:tcW w:w="2693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Bleeding: 9/95 (9%)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Mesenteric infarction: 2</w:t>
            </w:r>
          </w:p>
        </w:tc>
      </w:tr>
      <w:tr w:rsidR="006A77F4" w:rsidRPr="00D534C1" w:rsidTr="00FF5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5"/>
            <w:shd w:val="clear" w:color="auto" w:fill="C4BC96" w:themeFill="background2" w:themeFillShade="BF"/>
            <w:vAlign w:val="center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kern w:val="24"/>
              </w:rPr>
            </w:pPr>
            <w:r w:rsidRPr="00D534C1">
              <w:rPr>
                <w:kern w:val="24"/>
              </w:rPr>
              <w:t>Cirrhotic primary prevention</w:t>
            </w:r>
          </w:p>
        </w:tc>
      </w:tr>
      <w:tr w:rsidR="006A77F4" w:rsidRPr="00D534C1" w:rsidTr="00FF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b w:val="0"/>
              </w:rPr>
            </w:pPr>
            <w:r w:rsidRPr="00D534C1">
              <w:rPr>
                <w:kern w:val="24"/>
              </w:rPr>
              <w:t>Villa,</w:t>
            </w:r>
            <w:r w:rsidRPr="00D534C1">
              <w:rPr>
                <w:rFonts w:eastAsiaTheme="minorEastAsia"/>
                <w:kern w:val="24"/>
                <w:vertAlign w:val="superscript"/>
                <w:lang w:eastAsia="zh-CN"/>
              </w:rPr>
              <w:t>106</w:t>
            </w:r>
            <w:r w:rsidRPr="00D534C1">
              <w:rPr>
                <w:kern w:val="24"/>
                <w:vertAlign w:val="superscript"/>
              </w:rPr>
              <w:t xml:space="preserve"> </w:t>
            </w:r>
            <w:r w:rsidRPr="00D534C1">
              <w:rPr>
                <w:kern w:val="24"/>
              </w:rPr>
              <w:t>2012</w:t>
            </w:r>
          </w:p>
        </w:tc>
        <w:tc>
          <w:tcPr>
            <w:tcW w:w="621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70</w:t>
            </w:r>
          </w:p>
        </w:tc>
        <w:tc>
          <w:tcPr>
            <w:tcW w:w="489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Prospective, randomized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Cirrhotic (Child B or C) at high risk for PVT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Prophylactic enoxaparin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PVT rate:  0 (</w:t>
            </w:r>
            <w:proofErr w:type="spellStart"/>
            <w:r w:rsidRPr="00D534C1">
              <w:rPr>
                <w:kern w:val="24"/>
              </w:rPr>
              <w:t>Enox</w:t>
            </w:r>
            <w:proofErr w:type="spellEnd"/>
            <w:r w:rsidRPr="00D534C1">
              <w:rPr>
                <w:kern w:val="24"/>
              </w:rPr>
              <w:t>) vs. 16% (C)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 xml:space="preserve">Liver </w:t>
            </w:r>
            <w:proofErr w:type="spellStart"/>
            <w:r w:rsidRPr="00D534C1">
              <w:rPr>
                <w:kern w:val="24"/>
              </w:rPr>
              <w:t>decompensation</w:t>
            </w:r>
            <w:proofErr w:type="spellEnd"/>
            <w:r w:rsidRPr="00D534C1">
              <w:rPr>
                <w:kern w:val="24"/>
              </w:rPr>
              <w:t>: 11.7 (</w:t>
            </w:r>
            <w:proofErr w:type="spellStart"/>
            <w:r w:rsidRPr="00D534C1">
              <w:rPr>
                <w:kern w:val="24"/>
              </w:rPr>
              <w:t>Enox</w:t>
            </w:r>
            <w:proofErr w:type="spellEnd"/>
            <w:r w:rsidRPr="00D534C1">
              <w:rPr>
                <w:kern w:val="24"/>
              </w:rPr>
              <w:t xml:space="preserve">) vs. 52% (C) </w:t>
            </w:r>
          </w:p>
        </w:tc>
        <w:tc>
          <w:tcPr>
            <w:tcW w:w="2693" w:type="dxa"/>
            <w:tcBorders>
              <w:left w:val="none" w:sz="0" w:space="0" w:color="auto"/>
            </w:tcBorders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Bleeding: 9/95 (9%)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4C1">
              <w:rPr>
                <w:kern w:val="24"/>
              </w:rPr>
              <w:t>Mesenteric infarction: 2</w:t>
            </w:r>
          </w:p>
        </w:tc>
      </w:tr>
      <w:tr w:rsidR="006A77F4" w:rsidRPr="00D534C1" w:rsidTr="00FF5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5"/>
            <w:shd w:val="clear" w:color="auto" w:fill="C4BC96" w:themeFill="background2" w:themeFillShade="BF"/>
            <w:vAlign w:val="center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kern w:val="24"/>
              </w:rPr>
            </w:pPr>
            <w:r w:rsidRPr="00D534C1">
              <w:rPr>
                <w:kern w:val="24"/>
              </w:rPr>
              <w:t>DOAC treatment</w:t>
            </w:r>
          </w:p>
        </w:tc>
      </w:tr>
      <w:tr w:rsidR="006A77F4" w:rsidRPr="00D534C1" w:rsidTr="00FF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b w:val="0"/>
                <w:kern w:val="24"/>
              </w:rPr>
            </w:pPr>
            <w:r w:rsidRPr="00D534C1">
              <w:rPr>
                <w:kern w:val="24"/>
              </w:rPr>
              <w:t>De Gottardi,</w:t>
            </w:r>
            <w:r w:rsidRPr="00D534C1">
              <w:rPr>
                <w:rFonts w:eastAsiaTheme="minorEastAsia"/>
                <w:kern w:val="24"/>
                <w:vertAlign w:val="superscript"/>
                <w:lang w:eastAsia="zh-CN"/>
              </w:rPr>
              <w:t>90</w:t>
            </w:r>
            <w:r w:rsidRPr="00D534C1">
              <w:rPr>
                <w:kern w:val="24"/>
              </w:rPr>
              <w:t xml:space="preserve"> 2017</w:t>
            </w:r>
          </w:p>
        </w:tc>
        <w:tc>
          <w:tcPr>
            <w:tcW w:w="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94</w:t>
            </w:r>
          </w:p>
        </w:tc>
        <w:tc>
          <w:tcPr>
            <w:tcW w:w="48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Retrospective, descriptive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 xml:space="preserve">SPVT in </w:t>
            </w:r>
            <w:proofErr w:type="spellStart"/>
            <w:r w:rsidRPr="00D534C1">
              <w:rPr>
                <w:kern w:val="24"/>
              </w:rPr>
              <w:t>cirrhotics</w:t>
            </w:r>
            <w:proofErr w:type="spellEnd"/>
            <w:r w:rsidRPr="00D534C1">
              <w:rPr>
                <w:kern w:val="24"/>
              </w:rPr>
              <w:t xml:space="preserve"> (no Child C) and </w:t>
            </w:r>
            <w:proofErr w:type="spellStart"/>
            <w:r w:rsidRPr="00D534C1">
              <w:rPr>
                <w:kern w:val="24"/>
              </w:rPr>
              <w:t>noncirrhotic</w:t>
            </w:r>
            <w:proofErr w:type="spellEnd"/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DOACs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 xml:space="preserve">Recurrent PVT rate: 2.7% </w:t>
            </w:r>
            <w:proofErr w:type="spellStart"/>
            <w:r w:rsidRPr="00D534C1">
              <w:rPr>
                <w:kern w:val="24"/>
              </w:rPr>
              <w:t>cirrhotics</w:t>
            </w:r>
            <w:proofErr w:type="spellEnd"/>
            <w:r w:rsidRPr="00D534C1">
              <w:rPr>
                <w:kern w:val="24"/>
              </w:rPr>
              <w:t xml:space="preserve">; 0% </w:t>
            </w:r>
            <w:proofErr w:type="spellStart"/>
            <w:r w:rsidRPr="00D534C1">
              <w:rPr>
                <w:kern w:val="24"/>
              </w:rPr>
              <w:t>noncirrhotics</w:t>
            </w:r>
            <w:proofErr w:type="spellEnd"/>
          </w:p>
        </w:tc>
        <w:tc>
          <w:tcPr>
            <w:tcW w:w="2693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Major bleeding: 5.1% (</w:t>
            </w:r>
            <w:proofErr w:type="spellStart"/>
            <w:r w:rsidRPr="00D534C1">
              <w:rPr>
                <w:kern w:val="24"/>
              </w:rPr>
              <w:t>noncirrhotics</w:t>
            </w:r>
            <w:proofErr w:type="spellEnd"/>
            <w:r w:rsidRPr="00D534C1">
              <w:rPr>
                <w:kern w:val="24"/>
              </w:rPr>
              <w:t>); 2.7% (</w:t>
            </w:r>
            <w:proofErr w:type="spellStart"/>
            <w:r w:rsidRPr="00D534C1">
              <w:rPr>
                <w:kern w:val="24"/>
              </w:rPr>
              <w:t>cirrhotics</w:t>
            </w:r>
            <w:proofErr w:type="spellEnd"/>
            <w:r w:rsidRPr="00D534C1">
              <w:rPr>
                <w:kern w:val="24"/>
              </w:rPr>
              <w:t xml:space="preserve">)- 4 </w:t>
            </w:r>
          </w:p>
        </w:tc>
      </w:tr>
      <w:tr w:rsidR="006A77F4" w:rsidRPr="00D534C1" w:rsidTr="00FF5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b w:val="0"/>
                <w:kern w:val="24"/>
              </w:rPr>
            </w:pPr>
            <w:r w:rsidRPr="00D534C1">
              <w:rPr>
                <w:kern w:val="24"/>
              </w:rPr>
              <w:t>Janczak,</w:t>
            </w:r>
            <w:r w:rsidRPr="00D534C1">
              <w:rPr>
                <w:rFonts w:eastAsiaTheme="minorEastAsia"/>
                <w:kern w:val="24"/>
                <w:vertAlign w:val="superscript"/>
                <w:lang w:eastAsia="zh-CN"/>
              </w:rPr>
              <w:t>100</w:t>
            </w:r>
            <w:r w:rsidRPr="00D534C1">
              <w:rPr>
                <w:kern w:val="24"/>
              </w:rPr>
              <w:t xml:space="preserve"> </w:t>
            </w:r>
            <w:r w:rsidRPr="00D534C1">
              <w:rPr>
                <w:kern w:val="24"/>
              </w:rPr>
              <w:lastRenderedPageBreak/>
              <w:t>2018</w:t>
            </w:r>
          </w:p>
        </w:tc>
        <w:tc>
          <w:tcPr>
            <w:tcW w:w="62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lastRenderedPageBreak/>
              <w:t>59</w:t>
            </w:r>
          </w:p>
        </w:tc>
        <w:tc>
          <w:tcPr>
            <w:tcW w:w="489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Retrospective, matched controlled comparison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lastRenderedPageBreak/>
              <w:t>VTE-AL (including 48 SPVT)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DOACs and LMWH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lastRenderedPageBreak/>
              <w:t xml:space="preserve">PVT recurrence (per 100 person-years) 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lastRenderedPageBreak/>
              <w:t>Overall: 7.3 VTE-AL vs. 2.4 VTE-TL (</w:t>
            </w:r>
            <w:r w:rsidRPr="00D534C1">
              <w:rPr>
                <w:i/>
                <w:kern w:val="24"/>
              </w:rPr>
              <w:t>p</w:t>
            </w:r>
            <w:r w:rsidRPr="00D534C1">
              <w:rPr>
                <w:kern w:val="24"/>
              </w:rPr>
              <w:t>=0.13)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In cancer patients only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DOAC: 25.4 VTE-AL vs. 2.6 VTE-TL (</w:t>
            </w:r>
            <w:r w:rsidRPr="00D534C1">
              <w:rPr>
                <w:i/>
                <w:kern w:val="24"/>
              </w:rPr>
              <w:t>p</w:t>
            </w:r>
            <w:r w:rsidRPr="00D534C1">
              <w:rPr>
                <w:kern w:val="24"/>
              </w:rPr>
              <w:t>=0.03)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VTE-AL: DOAC 25.4 vs. 24.5 LMWH (</w:t>
            </w:r>
            <w:r w:rsidRPr="00D534C1">
              <w:rPr>
                <w:i/>
                <w:kern w:val="24"/>
              </w:rPr>
              <w:t>p</w:t>
            </w:r>
            <w:r w:rsidRPr="00D534C1">
              <w:rPr>
                <w:kern w:val="24"/>
              </w:rPr>
              <w:t>=0.81)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Mortality</w:t>
            </w:r>
            <w:r>
              <w:rPr>
                <w:rFonts w:eastAsiaTheme="minorEastAsia" w:hint="eastAsia"/>
                <w:kern w:val="24"/>
                <w:lang w:eastAsia="zh-CN"/>
              </w:rPr>
              <w:t xml:space="preserve">: </w:t>
            </w:r>
            <w:r w:rsidRPr="00D534C1">
              <w:rPr>
                <w:kern w:val="24"/>
              </w:rPr>
              <w:t>VTE-AL 21.5 vs. VTE-TL 8.3 (</w:t>
            </w:r>
            <w:r w:rsidRPr="00D534C1">
              <w:rPr>
                <w:i/>
                <w:kern w:val="24"/>
              </w:rPr>
              <w:t>p</w:t>
            </w:r>
            <w:r w:rsidRPr="00D534C1">
              <w:rPr>
                <w:kern w:val="24"/>
              </w:rPr>
              <w:t>=0.03)</w:t>
            </w:r>
          </w:p>
        </w:tc>
        <w:tc>
          <w:tcPr>
            <w:tcW w:w="2693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lastRenderedPageBreak/>
              <w:t xml:space="preserve">Major bleeding: (per 100 </w:t>
            </w:r>
            <w:r w:rsidRPr="00D534C1">
              <w:rPr>
                <w:kern w:val="24"/>
              </w:rPr>
              <w:lastRenderedPageBreak/>
              <w:t>person-years)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 xml:space="preserve">VTE-AL 7.2 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kern w:val="24"/>
                <w:lang w:eastAsia="zh-CN"/>
              </w:rPr>
            </w:pPr>
            <w:r w:rsidRPr="00D534C1">
              <w:rPr>
                <w:kern w:val="24"/>
              </w:rPr>
              <w:t>VTE-TL 3.0</w:t>
            </w:r>
          </w:p>
        </w:tc>
      </w:tr>
      <w:tr w:rsidR="006A77F4" w:rsidRPr="00D534C1" w:rsidTr="00FF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rPr>
                <w:b w:val="0"/>
                <w:kern w:val="24"/>
              </w:rPr>
            </w:pPr>
            <w:r w:rsidRPr="00D534C1">
              <w:rPr>
                <w:kern w:val="24"/>
              </w:rPr>
              <w:lastRenderedPageBreak/>
              <w:t>Hum,</w:t>
            </w:r>
            <w:r w:rsidRPr="00D534C1">
              <w:rPr>
                <w:rFonts w:eastAsiaTheme="minorEastAsia"/>
                <w:kern w:val="24"/>
                <w:vertAlign w:val="superscript"/>
                <w:lang w:eastAsia="zh-CN"/>
              </w:rPr>
              <w:t>91</w:t>
            </w:r>
            <w:r w:rsidRPr="00D534C1">
              <w:rPr>
                <w:kern w:val="24"/>
              </w:rPr>
              <w:t xml:space="preserve"> 2017</w:t>
            </w:r>
          </w:p>
        </w:tc>
        <w:tc>
          <w:tcPr>
            <w:tcW w:w="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45</w:t>
            </w:r>
          </w:p>
        </w:tc>
        <w:tc>
          <w:tcPr>
            <w:tcW w:w="48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Retrospective cohort comparison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Cirrhotic (MELD 9-10)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VTE/PVT/AF</w:t>
            </w:r>
          </w:p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DOACs and LMWH/VKA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Progression of DVT: DOAC 4% vs. LMWH/VKA 6% (</w:t>
            </w:r>
            <w:r w:rsidRPr="00D534C1">
              <w:rPr>
                <w:i/>
                <w:kern w:val="24"/>
              </w:rPr>
              <w:t>p</w:t>
            </w:r>
            <w:r w:rsidRPr="00D534C1">
              <w:rPr>
                <w:kern w:val="24"/>
              </w:rPr>
              <w:t>=1.0)</w:t>
            </w:r>
          </w:p>
        </w:tc>
        <w:tc>
          <w:tcPr>
            <w:tcW w:w="2693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A77F4" w:rsidRPr="00D534C1" w:rsidRDefault="006A77F4" w:rsidP="00FF538C">
            <w:pPr>
              <w:pStyle w:val="a3"/>
              <w:snapToGrid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</w:rPr>
            </w:pPr>
            <w:r w:rsidRPr="00D534C1">
              <w:rPr>
                <w:kern w:val="24"/>
              </w:rPr>
              <w:t>Major bleeding events: DOAC 4% vs. LMWH/VKA 28% (</w:t>
            </w:r>
            <w:r w:rsidRPr="00D534C1">
              <w:rPr>
                <w:i/>
                <w:kern w:val="24"/>
              </w:rPr>
              <w:t>p</w:t>
            </w:r>
            <w:r w:rsidRPr="00D534C1">
              <w:rPr>
                <w:kern w:val="24"/>
              </w:rPr>
              <w:t>=0.03)</w:t>
            </w:r>
          </w:p>
        </w:tc>
      </w:tr>
    </w:tbl>
    <w:p w:rsidR="004827BB" w:rsidRPr="00D534C1" w:rsidRDefault="003F38A3" w:rsidP="003F38A3">
      <w:pPr>
        <w:snapToGrid w:val="0"/>
        <w:spacing w:after="0" w:line="480" w:lineRule="auto"/>
        <w:jc w:val="both"/>
        <w:rPr>
          <w:rFonts w:ascii="Times New Roman" w:hAnsi="Times New Roman" w:cs="Times New Roman"/>
          <w:szCs w:val="24"/>
          <w:lang w:eastAsia="zh-CN"/>
        </w:rPr>
      </w:pPr>
      <w:bookmarkStart w:id="0" w:name="_GoBack"/>
      <w:bookmarkEnd w:id="0"/>
      <w:r w:rsidRPr="00D534C1">
        <w:rPr>
          <w:rFonts w:ascii="Times New Roman" w:hAnsi="Times New Roman" w:cs="Times New Roman"/>
          <w:szCs w:val="24"/>
          <w:lang w:eastAsia="zh-CN"/>
        </w:rPr>
        <w:t xml:space="preserve">Abbreviations: </w:t>
      </w:r>
      <w:r w:rsidRPr="00D534C1">
        <w:rPr>
          <w:rFonts w:ascii="Times New Roman" w:hAnsi="Times New Roman" w:cs="Times New Roman"/>
          <w:szCs w:val="24"/>
        </w:rPr>
        <w:t>AC, anticoagulation; AL, atypical location; AF, atrial fibrillation; C, control/no treatment; DOAC, direct-acting oral anticoagulant; DVT, deep vein thrombosis; LMWH, low molecular weight heparin; MELD, model for end-stage liver disease; PVT, portal vein thrombosis; TL, typical location; VKA, vitamin K antagonist; VTE, venous thromboembolism.</w:t>
      </w:r>
    </w:p>
    <w:sectPr w:rsidR="004827BB" w:rsidRPr="00D534C1" w:rsidSect="00D534C1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3"/>
    <w:rsid w:val="003F38A3"/>
    <w:rsid w:val="004827BB"/>
    <w:rsid w:val="006A77F4"/>
    <w:rsid w:val="00D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3"/>
    <w:pPr>
      <w:spacing w:after="160" w:line="259" w:lineRule="auto"/>
    </w:pPr>
    <w:rPr>
      <w:rFonts w:ascii="Arial" w:hAnsi="Arial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1-1">
    <w:name w:val="Medium Shading 1 Accent 1"/>
    <w:basedOn w:val="a1"/>
    <w:uiPriority w:val="63"/>
    <w:rsid w:val="003F38A3"/>
    <w:rPr>
      <w:rFonts w:ascii="Arial" w:hAnsi="Arial"/>
      <w:kern w:val="0"/>
      <w:sz w:val="24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3"/>
    <w:pPr>
      <w:spacing w:after="160" w:line="259" w:lineRule="auto"/>
    </w:pPr>
    <w:rPr>
      <w:rFonts w:ascii="Arial" w:hAnsi="Arial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1-1">
    <w:name w:val="Medium Shading 1 Accent 1"/>
    <w:basedOn w:val="a1"/>
    <w:uiPriority w:val="63"/>
    <w:rsid w:val="003F38A3"/>
    <w:rPr>
      <w:rFonts w:ascii="Arial" w:hAnsi="Arial"/>
      <w:kern w:val="0"/>
      <w:sz w:val="24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2019-06-14T14:05:00Z</dcterms:created>
  <dcterms:modified xsi:type="dcterms:W3CDTF">2019-06-14T14:19:00Z</dcterms:modified>
</cp:coreProperties>
</file>