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527D" w14:textId="77777777" w:rsidR="00FA07A1" w:rsidRPr="00831DCD" w:rsidRDefault="00FA07A1" w:rsidP="00FA07A1">
      <w:pPr>
        <w:rPr>
          <w:rFonts w:ascii="Times New Roman" w:hAnsi="Times New Roman"/>
          <w:b/>
          <w:bCs/>
        </w:rPr>
      </w:pPr>
      <w:bookmarkStart w:id="0" w:name="_Hlk213790407"/>
      <w:r w:rsidRPr="00831DCD">
        <w:rPr>
          <w:rFonts w:ascii="Times New Roman" w:hAnsi="Times New Roman"/>
          <w:b/>
          <w:bCs/>
        </w:rPr>
        <w:t xml:space="preserve">Supplementary Table 6. Multivariable </w:t>
      </w:r>
      <w:r>
        <w:rPr>
          <w:rFonts w:ascii="Times New Roman" w:hAnsi="Times New Roman"/>
          <w:b/>
          <w:bCs/>
        </w:rPr>
        <w:t>l</w:t>
      </w:r>
      <w:r w:rsidRPr="00831DCD">
        <w:rPr>
          <w:rFonts w:ascii="Times New Roman" w:hAnsi="Times New Roman"/>
          <w:b/>
          <w:bCs/>
        </w:rPr>
        <w:t xml:space="preserve">ogistic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egression for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linical </w:t>
      </w:r>
      <w:r>
        <w:rPr>
          <w:rFonts w:ascii="Times New Roman" w:hAnsi="Times New Roman"/>
          <w:b/>
          <w:bCs/>
        </w:rPr>
        <w:t>o</w:t>
      </w:r>
      <w:r w:rsidRPr="00831DCD">
        <w:rPr>
          <w:rFonts w:ascii="Times New Roman" w:hAnsi="Times New Roman"/>
          <w:b/>
          <w:bCs/>
        </w:rPr>
        <w:t xml:space="preserve">utcomes by </w:t>
      </w:r>
      <w:r>
        <w:rPr>
          <w:rFonts w:ascii="Times New Roman" w:hAnsi="Times New Roman"/>
          <w:b/>
          <w:bCs/>
        </w:rPr>
        <w:t>v</w:t>
      </w:r>
      <w:r w:rsidRPr="00831DCD">
        <w:rPr>
          <w:rFonts w:ascii="Times New Roman" w:hAnsi="Times New Roman"/>
          <w:b/>
          <w:bCs/>
        </w:rPr>
        <w:t xml:space="preserve">irological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esponse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 xml:space="preserve">attern in </w:t>
      </w:r>
      <w:r>
        <w:rPr>
          <w:rFonts w:ascii="Times New Roman" w:hAnsi="Times New Roman"/>
          <w:b/>
          <w:bCs/>
        </w:rPr>
        <w:t>patients with d</w:t>
      </w:r>
      <w:r w:rsidRPr="00831DCD">
        <w:rPr>
          <w:rFonts w:ascii="Times New Roman" w:hAnsi="Times New Roman"/>
          <w:b/>
          <w:bCs/>
        </w:rPr>
        <w:t xml:space="preserve">ecompensated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</w:p>
    <w:p w14:paraId="4FD83FEE" w14:textId="77777777" w:rsidR="00FA07A1" w:rsidRPr="00831DCD" w:rsidRDefault="00FA07A1" w:rsidP="00FA07A1">
      <w:pPr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018"/>
        <w:gridCol w:w="2543"/>
        <w:gridCol w:w="2842"/>
        <w:gridCol w:w="3403"/>
        <w:gridCol w:w="1625"/>
      </w:tblGrid>
      <w:tr w:rsidR="00FA07A1" w:rsidRPr="00831DCD" w14:paraId="7525E45C" w14:textId="77777777" w:rsidTr="00EE42A3">
        <w:trPr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bookmarkEnd w:id="0"/>
          <w:p w14:paraId="361961FB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Outcome</w:t>
            </w:r>
          </w:p>
        </w:tc>
        <w:tc>
          <w:tcPr>
            <w:tcW w:w="723" w:type="pct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0AFD5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Comparison</w:t>
            </w:r>
          </w:p>
        </w:tc>
        <w:tc>
          <w:tcPr>
            <w:tcW w:w="192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EF62319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Univariable 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831DCD">
              <w:rPr>
                <w:rFonts w:ascii="Times New Roman" w:hAnsi="Times New Roman"/>
                <w:b/>
                <w:bCs/>
              </w:rPr>
              <w:t>nalysis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D29B6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Multivariable 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831DCD">
              <w:rPr>
                <w:rFonts w:ascii="Times New Roman" w:hAnsi="Times New Roman"/>
                <w:b/>
                <w:bCs/>
              </w:rPr>
              <w:t>nalysis</w:t>
            </w:r>
          </w:p>
        </w:tc>
      </w:tr>
      <w:tr w:rsidR="00FA07A1" w:rsidRPr="00831DCD" w14:paraId="2C723E44" w14:textId="77777777" w:rsidTr="00EE42A3">
        <w:trPr>
          <w:tblHeader/>
        </w:trPr>
        <w:tc>
          <w:tcPr>
            <w:tcW w:w="547" w:type="pct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B694EF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" w:type="pct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7C63DF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1" w:type="pct"/>
            <w:tcBorders>
              <w:top w:val="nil"/>
              <w:bottom w:val="single" w:sz="6" w:space="0" w:color="auto"/>
            </w:tcBorders>
            <w:vAlign w:val="center"/>
          </w:tcPr>
          <w:p w14:paraId="4B10540D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HR (95% CI)</w:t>
            </w:r>
          </w:p>
        </w:tc>
        <w:tc>
          <w:tcPr>
            <w:tcW w:w="1018" w:type="pct"/>
            <w:tcBorders>
              <w:top w:val="nil"/>
              <w:bottom w:val="single" w:sz="6" w:space="0" w:color="auto"/>
            </w:tcBorders>
            <w:vAlign w:val="center"/>
          </w:tcPr>
          <w:p w14:paraId="4C75623F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P </w:t>
            </w:r>
          </w:p>
        </w:tc>
        <w:tc>
          <w:tcPr>
            <w:tcW w:w="1219" w:type="pct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6D776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HR (95% CI)</w:t>
            </w:r>
          </w:p>
        </w:tc>
        <w:tc>
          <w:tcPr>
            <w:tcW w:w="582" w:type="pct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4BC23" w14:textId="77777777" w:rsidR="00FA07A1" w:rsidRPr="00831DCD" w:rsidRDefault="00FA07A1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P </w:t>
            </w:r>
          </w:p>
        </w:tc>
      </w:tr>
      <w:tr w:rsidR="00FA07A1" w:rsidRPr="00831DCD" w14:paraId="7D101358" w14:textId="77777777" w:rsidTr="00EE42A3">
        <w:tc>
          <w:tcPr>
            <w:tcW w:w="547" w:type="pct"/>
            <w:vMerge w:val="restart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B8F58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723" w:type="pct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6F83C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PVR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tcBorders>
              <w:top w:val="single" w:sz="6" w:space="0" w:color="auto"/>
            </w:tcBorders>
          </w:tcPr>
          <w:p w14:paraId="06AE0AC4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1.54 (1.09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2.18)</w:t>
            </w:r>
          </w:p>
        </w:tc>
        <w:tc>
          <w:tcPr>
            <w:tcW w:w="1018" w:type="pct"/>
            <w:tcBorders>
              <w:top w:val="single" w:sz="6" w:space="0" w:color="auto"/>
            </w:tcBorders>
          </w:tcPr>
          <w:p w14:paraId="5DDFA31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0.015</w:t>
            </w:r>
          </w:p>
        </w:tc>
        <w:tc>
          <w:tcPr>
            <w:tcW w:w="1219" w:type="pct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7FC746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1.45 (1.02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2.06)</w:t>
            </w:r>
          </w:p>
        </w:tc>
        <w:tc>
          <w:tcPr>
            <w:tcW w:w="582" w:type="pct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CAB30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0.038</w:t>
            </w:r>
          </w:p>
        </w:tc>
      </w:tr>
      <w:tr w:rsidR="00FA07A1" w:rsidRPr="00831DCD" w14:paraId="69B3B321" w14:textId="77777777" w:rsidTr="00EE42A3">
        <w:tc>
          <w:tcPr>
            <w:tcW w:w="547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31F09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A9714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vAlign w:val="center"/>
          </w:tcPr>
          <w:p w14:paraId="23D2A904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2.38 (1.97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2.87)</w:t>
            </w:r>
          </w:p>
        </w:tc>
        <w:tc>
          <w:tcPr>
            <w:tcW w:w="1018" w:type="pct"/>
            <w:vAlign w:val="center"/>
          </w:tcPr>
          <w:p w14:paraId="63AAD49E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BAD4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2.35 (1.93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2.86)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227A1D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A07A1" w:rsidRPr="00831DCD" w14:paraId="6CCDE973" w14:textId="77777777" w:rsidTr="00EE42A3">
        <w:tc>
          <w:tcPr>
            <w:tcW w:w="547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BD7ED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757E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PVR</w:t>
            </w:r>
          </w:p>
        </w:tc>
        <w:tc>
          <w:tcPr>
            <w:tcW w:w="911" w:type="pct"/>
            <w:vAlign w:val="center"/>
          </w:tcPr>
          <w:p w14:paraId="3983B9E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1.55 (1.09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2.19)</w:t>
            </w:r>
          </w:p>
        </w:tc>
        <w:tc>
          <w:tcPr>
            <w:tcW w:w="1018" w:type="pct"/>
            <w:vAlign w:val="center"/>
          </w:tcPr>
          <w:p w14:paraId="0D7F4788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0.015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E7EEDE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1.62 (1.14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2.31)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C398E8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0.007</w:t>
            </w:r>
          </w:p>
        </w:tc>
      </w:tr>
      <w:tr w:rsidR="00FA07A1" w:rsidRPr="00831DCD" w14:paraId="7832951B" w14:textId="77777777" w:rsidTr="00EE42A3">
        <w:tc>
          <w:tcPr>
            <w:tcW w:w="547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1D39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ACLF</w:t>
            </w: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E4601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PVR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vAlign w:val="center"/>
          </w:tcPr>
          <w:p w14:paraId="07F07686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4.38 (2.60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7.38)</w:t>
            </w:r>
          </w:p>
        </w:tc>
        <w:tc>
          <w:tcPr>
            <w:tcW w:w="1018" w:type="pct"/>
            <w:vAlign w:val="center"/>
          </w:tcPr>
          <w:p w14:paraId="2EFFA43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B6191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4.51 (2.63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7.74)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EAC920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A07A1" w:rsidRPr="00831DCD" w14:paraId="5B25A1FD" w14:textId="77777777" w:rsidTr="00EE42A3">
        <w:tc>
          <w:tcPr>
            <w:tcW w:w="547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8F2DC3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B5C8B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vAlign w:val="center"/>
          </w:tcPr>
          <w:p w14:paraId="2C7A1E0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2.42 (1.58–3.70)</w:t>
            </w:r>
          </w:p>
        </w:tc>
        <w:tc>
          <w:tcPr>
            <w:tcW w:w="1018" w:type="pct"/>
            <w:vAlign w:val="center"/>
          </w:tcPr>
          <w:p w14:paraId="63DE0093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8FD0A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2.87 (1.83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4.50)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04936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A07A1" w:rsidRPr="00831DCD" w14:paraId="27372E6C" w14:textId="77777777" w:rsidTr="00EE42A3">
        <w:tc>
          <w:tcPr>
            <w:tcW w:w="547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44D09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C423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PVR</w:t>
            </w:r>
          </w:p>
        </w:tc>
        <w:tc>
          <w:tcPr>
            <w:tcW w:w="911" w:type="pct"/>
            <w:vAlign w:val="center"/>
          </w:tcPr>
          <w:p w14:paraId="7D14F9B0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0.55 (0.33–0.94)</w:t>
            </w:r>
          </w:p>
        </w:tc>
        <w:tc>
          <w:tcPr>
            <w:tcW w:w="1018" w:type="pct"/>
            <w:vAlign w:val="center"/>
          </w:tcPr>
          <w:p w14:paraId="28BBE0AE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0.027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743E9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0.64 (0.37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1.11)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50D2D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0.111</w:t>
            </w:r>
          </w:p>
        </w:tc>
      </w:tr>
      <w:tr w:rsidR="00FA07A1" w:rsidRPr="00831DCD" w14:paraId="6290B252" w14:textId="77777777" w:rsidTr="00EE42A3">
        <w:tc>
          <w:tcPr>
            <w:tcW w:w="547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FCAC1F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Liver-</w:t>
            </w:r>
            <w:r>
              <w:rPr>
                <w:rFonts w:ascii="Times New Roman" w:hAnsi="Times New Roman"/>
                <w:b/>
                <w:bCs/>
              </w:rPr>
              <w:t>r</w:t>
            </w:r>
            <w:r w:rsidRPr="00831DCD">
              <w:rPr>
                <w:rFonts w:ascii="Times New Roman" w:hAnsi="Times New Roman"/>
                <w:b/>
                <w:bCs/>
              </w:rPr>
              <w:t xml:space="preserve">elated </w:t>
            </w:r>
            <w:r>
              <w:rPr>
                <w:rFonts w:ascii="Times New Roman" w:hAnsi="Times New Roman"/>
                <w:b/>
                <w:bCs/>
              </w:rPr>
              <w:t>m</w:t>
            </w:r>
            <w:r w:rsidRPr="00831DCD">
              <w:rPr>
                <w:rFonts w:ascii="Times New Roman" w:hAnsi="Times New Roman"/>
                <w:b/>
                <w:bCs/>
              </w:rPr>
              <w:t>ortality</w:t>
            </w: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3CE4C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PVR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vAlign w:val="center"/>
          </w:tcPr>
          <w:p w14:paraId="01EDF37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2.83 (1.39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5.76)</w:t>
            </w:r>
          </w:p>
        </w:tc>
        <w:tc>
          <w:tcPr>
            <w:tcW w:w="1018" w:type="pct"/>
            <w:vAlign w:val="center"/>
          </w:tcPr>
          <w:p w14:paraId="20A18BAC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0.004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7819DA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2.68 (1.31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5.48)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84C545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0.007</w:t>
            </w:r>
          </w:p>
        </w:tc>
      </w:tr>
      <w:tr w:rsidR="00FA07A1" w:rsidRPr="00831DCD" w14:paraId="3AEA2D6F" w14:textId="77777777" w:rsidTr="00EE42A3">
        <w:tc>
          <w:tcPr>
            <w:tcW w:w="547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5CDDA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70AC6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MVR</w:t>
            </w:r>
          </w:p>
        </w:tc>
        <w:tc>
          <w:tcPr>
            <w:tcW w:w="911" w:type="pct"/>
            <w:vAlign w:val="center"/>
          </w:tcPr>
          <w:p w14:paraId="5EB51AF4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3.38 (2.14–5.33)</w:t>
            </w:r>
          </w:p>
        </w:tc>
        <w:tc>
          <w:tcPr>
            <w:tcW w:w="1018" w:type="pct"/>
            <w:vAlign w:val="center"/>
          </w:tcPr>
          <w:p w14:paraId="64D7F85A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  <w:tc>
          <w:tcPr>
            <w:tcW w:w="12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F7C3F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3.77 (2.35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6.07)</w:t>
            </w:r>
          </w:p>
        </w:tc>
        <w:tc>
          <w:tcPr>
            <w:tcW w:w="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2E57C7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FA07A1" w:rsidRPr="00831DCD" w14:paraId="6C1AD0B8" w14:textId="77777777" w:rsidTr="00EE42A3">
        <w:tc>
          <w:tcPr>
            <w:tcW w:w="547" w:type="pct"/>
            <w:vMerge/>
            <w:tcBorders>
              <w:bottom w:val="single" w:sz="12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DC16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0A013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VBT vs</w:t>
            </w:r>
            <w:r>
              <w:rPr>
                <w:rFonts w:ascii="Times New Roman" w:hAnsi="Times New Roman"/>
              </w:rPr>
              <w:t>.</w:t>
            </w:r>
            <w:r w:rsidRPr="00831DCD">
              <w:rPr>
                <w:rFonts w:ascii="Times New Roman" w:hAnsi="Times New Roman"/>
              </w:rPr>
              <w:t xml:space="preserve"> PVR</w:t>
            </w:r>
          </w:p>
        </w:tc>
        <w:tc>
          <w:tcPr>
            <w:tcW w:w="911" w:type="pct"/>
            <w:tcBorders>
              <w:bottom w:val="single" w:sz="12" w:space="0" w:color="auto"/>
            </w:tcBorders>
            <w:vAlign w:val="center"/>
          </w:tcPr>
          <w:p w14:paraId="5219B9B7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1.19 (0.60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2.38)</w:t>
            </w:r>
          </w:p>
        </w:tc>
        <w:tc>
          <w:tcPr>
            <w:tcW w:w="1018" w:type="pct"/>
            <w:tcBorders>
              <w:bottom w:val="single" w:sz="12" w:space="0" w:color="auto"/>
            </w:tcBorders>
            <w:vAlign w:val="center"/>
          </w:tcPr>
          <w:p w14:paraId="3FF67FE4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0.615</w:t>
            </w:r>
          </w:p>
        </w:tc>
        <w:tc>
          <w:tcPr>
            <w:tcW w:w="1219" w:type="pct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52292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1.41 (0.70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2.84)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C2596" w14:textId="77777777" w:rsidR="00FA07A1" w:rsidRPr="00831DCD" w:rsidRDefault="00FA07A1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0.336</w:t>
            </w:r>
          </w:p>
        </w:tc>
      </w:tr>
    </w:tbl>
    <w:p w14:paraId="5BC60BE4" w14:textId="77777777" w:rsidR="00FA07A1" w:rsidRPr="00831DCD" w:rsidRDefault="00FA07A1" w:rsidP="00FA07A1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>Abbreviations:</w:t>
      </w:r>
      <w:r w:rsidRPr="00831DCD">
        <w:rPr>
          <w:rFonts w:ascii="Times New Roman" w:hAnsi="Times New Roman"/>
        </w:rPr>
        <w:t xml:space="preserve"> HCC, hepatocellular carcinoma;</w:t>
      </w:r>
      <w:r w:rsidRPr="00831DC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831DCD">
        <w:rPr>
          <w:rFonts w:ascii="Times New Roman" w:hAnsi="Times New Roman"/>
        </w:rPr>
        <w:t>ACLF, acute-on-chronic liver failure; CI, confidence interval; MVR, maintained virological response; PVR, partial virological response; VBT, virological breakthrough.</w:t>
      </w:r>
    </w:p>
    <w:p w14:paraId="57C31D24" w14:textId="77777777" w:rsidR="00FA07A1" w:rsidRPr="00831DCD" w:rsidRDefault="00FA07A1" w:rsidP="00FA07A1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 xml:space="preserve">Notes: </w:t>
      </w:r>
      <w:r w:rsidRPr="00831DCD">
        <w:rPr>
          <w:rFonts w:ascii="Times New Roman" w:hAnsi="Times New Roman"/>
        </w:rPr>
        <w:t xml:space="preserve">All models were adjusted for the following covariates where applicable: age, </w:t>
      </w:r>
      <w:r>
        <w:rPr>
          <w:rFonts w:ascii="Times New Roman" w:hAnsi="Times New Roman"/>
        </w:rPr>
        <w:t>sex</w:t>
      </w:r>
      <w:r w:rsidRPr="00831DCD">
        <w:rPr>
          <w:rFonts w:ascii="Times New Roman" w:hAnsi="Times New Roman"/>
        </w:rPr>
        <w:t>, Model for End-stage Liver Disease</w:t>
      </w:r>
      <w:r w:rsidRPr="00831DCD" w:rsidDel="00831DCD">
        <w:rPr>
          <w:rFonts w:ascii="Times New Roman" w:hAnsi="Times New Roman"/>
        </w:rPr>
        <w:t xml:space="preserve"> </w:t>
      </w:r>
      <w:r w:rsidRPr="00831DCD">
        <w:rPr>
          <w:rFonts w:ascii="Times New Roman" w:hAnsi="Times New Roman"/>
        </w:rPr>
        <w:t xml:space="preserve">score, diabetes, hypertension, albumin, total bilirubin, platelet count, ALT, AST, </w:t>
      </w:r>
      <w:r>
        <w:rPr>
          <w:rFonts w:ascii="Times New Roman" w:hAnsi="Times New Roman"/>
        </w:rPr>
        <w:t xml:space="preserve">and hepatitis B e antigen </w:t>
      </w:r>
      <w:r w:rsidRPr="00831DCD">
        <w:rPr>
          <w:rFonts w:ascii="Times New Roman" w:hAnsi="Times New Roman"/>
        </w:rPr>
        <w:t>status. The final set of covariates for each outcome was determined by stepwise selection from this pool.</w:t>
      </w:r>
    </w:p>
    <w:p w14:paraId="11F52E39" w14:textId="77777777" w:rsidR="00CF7D34" w:rsidRDefault="00CF7D34"/>
    <w:sectPr w:rsidR="00CF7D34" w:rsidSect="007A43F7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6AA1" w14:textId="77777777" w:rsidR="00C86241" w:rsidRDefault="00C86241" w:rsidP="00FA07A1">
      <w:pPr>
        <w:spacing w:after="0" w:line="240" w:lineRule="auto"/>
      </w:pPr>
      <w:r>
        <w:separator/>
      </w:r>
    </w:p>
  </w:endnote>
  <w:endnote w:type="continuationSeparator" w:id="0">
    <w:p w14:paraId="695784BD" w14:textId="77777777" w:rsidR="00C86241" w:rsidRDefault="00C86241" w:rsidP="00FA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8518" w14:textId="77777777" w:rsidR="00C86241" w:rsidRDefault="00C86241" w:rsidP="00FA07A1">
      <w:pPr>
        <w:spacing w:after="0" w:line="240" w:lineRule="auto"/>
      </w:pPr>
      <w:r>
        <w:separator/>
      </w:r>
    </w:p>
  </w:footnote>
  <w:footnote w:type="continuationSeparator" w:id="0">
    <w:p w14:paraId="4871A7B1" w14:textId="77777777" w:rsidR="00C86241" w:rsidRDefault="00C86241" w:rsidP="00FA0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34"/>
    <w:rsid w:val="007A43F7"/>
    <w:rsid w:val="00C86241"/>
    <w:rsid w:val="00CF7D34"/>
    <w:rsid w:val="00E6529B"/>
    <w:rsid w:val="00F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50FDEB-C948-4CB0-9472-47917C89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D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D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D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D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A1"/>
  </w:style>
  <w:style w:type="paragraph" w:styleId="Footer">
    <w:name w:val="footer"/>
    <w:basedOn w:val="Normal"/>
    <w:link w:val="FooterChar"/>
    <w:uiPriority w:val="99"/>
    <w:unhideWhenUsed/>
    <w:rsid w:val="00FA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2026-02-11T00:33:00Z</dcterms:created>
  <dcterms:modified xsi:type="dcterms:W3CDTF">2026-02-11T00:34:00Z</dcterms:modified>
</cp:coreProperties>
</file>