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7E" w:rsidRDefault="00DA0B7E" w:rsidP="00DA0B7E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 w:hint="eastAsia"/>
          <w:b/>
          <w:bCs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Cs w:val="24"/>
        </w:rPr>
        <w:t>Supplementa</w:t>
      </w:r>
      <w:r>
        <w:rPr>
          <w:rFonts w:ascii="Times New Roman" w:hAnsi="Times New Roman" w:cs="Times New Roman"/>
          <w:b/>
          <w:bCs/>
          <w:szCs w:val="24"/>
          <w:lang w:eastAsia="zh-CN"/>
        </w:rPr>
        <w:t>ry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Table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1.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Primary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antibodies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used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for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Cs w:val="24"/>
        </w:rPr>
        <w:t>immunohistochemistry</w:t>
      </w:r>
      <w:r>
        <w:rPr>
          <w:rFonts w:ascii="Times New Roman" w:hAnsi="Times New Roman" w:cs="Times New Roman" w:hint="eastAsia"/>
          <w:b/>
          <w:bCs/>
          <w:szCs w:val="24"/>
          <w:lang w:eastAsia="zh-CN"/>
        </w:rPr>
        <w:t>.</w:t>
      </w:r>
    </w:p>
    <w:p w:rsidR="00DA0B7E" w:rsidRDefault="00DA0B7E" w:rsidP="00DA0B7E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 w:hint="eastAsia"/>
          <w:b/>
          <w:bCs/>
          <w:szCs w:val="24"/>
          <w:lang w:eastAsia="zh-CN"/>
        </w:rPr>
      </w:pPr>
    </w:p>
    <w:p w:rsidR="00DA0B7E" w:rsidRDefault="00DA0B7E" w:rsidP="00DA0B7E">
      <w:pPr>
        <w:pBdr>
          <w:bottom w:val="single" w:sz="4" w:space="1" w:color="auto"/>
        </w:pBd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szCs w:val="24"/>
          <w:u w:val="single"/>
          <w:vertAlign w:val="superscript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3359"/>
        <w:gridCol w:w="3790"/>
      </w:tblGrid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Protein</w:t>
            </w:r>
            <w:r>
              <w:rPr>
                <w:b/>
                <w:bCs/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Dilution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Antibody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Aldolase</w:t>
            </w:r>
            <w:r>
              <w:rPr>
                <w:szCs w:val="24"/>
              </w:rPr>
              <w:tab/>
              <w:t>A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Cytokeratin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18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1/100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mouse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4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FASN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mouse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GLUT4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1/25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mouse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1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HMGCoAR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1/25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goat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IGLK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1/25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Insulin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receptor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1/25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IRS1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1/25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6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Pan-AKT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Pan-ERK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mouse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PKM2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p-mTOR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raf-1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7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Ras</w:t>
            </w:r>
            <w:r>
              <w:rPr>
                <w:szCs w:val="24"/>
              </w:rPr>
              <w:tab/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mouse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monoclonal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DA0B7E" w:rsidTr="005B619D">
        <w:tc>
          <w:tcPr>
            <w:tcW w:w="2093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SCD-1</w:t>
            </w:r>
          </w:p>
        </w:tc>
        <w:tc>
          <w:tcPr>
            <w:tcW w:w="3359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1/100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c,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ON</w:t>
            </w:r>
          </w:p>
        </w:tc>
        <w:tc>
          <w:tcPr>
            <w:tcW w:w="3790" w:type="dxa"/>
          </w:tcPr>
          <w:p w:rsidR="00DA0B7E" w:rsidRDefault="00DA0B7E" w:rsidP="005B619D">
            <w:pPr>
              <w:spacing w:line="48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rabbit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polyclonal</w:t>
            </w:r>
            <w:r>
              <w:rPr>
                <w:szCs w:val="24"/>
                <w:vertAlign w:val="superscript"/>
              </w:rPr>
              <w:t>7</w:t>
            </w:r>
          </w:p>
        </w:tc>
      </w:tr>
    </w:tbl>
    <w:p w:rsidR="00DA0B7E" w:rsidRDefault="00DA0B7E" w:rsidP="00DA0B7E">
      <w:pPr>
        <w:autoSpaceDE w:val="0"/>
        <w:autoSpaceDN w:val="0"/>
        <w:adjustRightInd w:val="0"/>
        <w:spacing w:line="48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vertAlign w:val="superscript"/>
        </w:rPr>
        <w:t>1</w:t>
      </w:r>
      <w:r>
        <w:rPr>
          <w:rFonts w:ascii="Times New Roman" w:hAnsi="Times New Roman" w:cs="Times New Roman"/>
          <w:szCs w:val="24"/>
        </w:rPr>
        <w:t>Abcam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(Cambridge,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UK);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BD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Biosciences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(San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Diego,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CA,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USA);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>3</w:t>
      </w:r>
      <w:r>
        <w:rPr>
          <w:rFonts w:ascii="Times New Roman" w:hAnsi="Times New Roman" w:cs="Times New Roman"/>
          <w:szCs w:val="24"/>
        </w:rPr>
        <w:t>Cell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Signaling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Technology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(Danvers,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USA);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>4</w:t>
      </w:r>
      <w:r>
        <w:rPr>
          <w:rFonts w:ascii="Times New Roman" w:hAnsi="Times New Roman" w:cs="Times New Roman"/>
          <w:szCs w:val="24"/>
        </w:rPr>
        <w:t>Dako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(Glostrup,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Denmark);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>5</w:t>
      </w:r>
      <w:r>
        <w:rPr>
          <w:rFonts w:ascii="Times New Roman" w:hAnsi="Times New Roman" w:cs="Times New Roman"/>
          <w:szCs w:val="24"/>
        </w:rPr>
        <w:t>DCS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Innovative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Diagnostik-Systeme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(Hamburg,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Germany);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>6</w:t>
      </w:r>
      <w:r>
        <w:rPr>
          <w:rFonts w:ascii="Times New Roman" w:hAnsi="Times New Roman" w:cs="Times New Roman"/>
          <w:szCs w:val="24"/>
        </w:rPr>
        <w:t>Santa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Cruz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Biotechnology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(Dallas,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TX,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USA);</w:t>
      </w: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Cs w:val="24"/>
          <w:vertAlign w:val="superscript"/>
        </w:rPr>
        <w:t>7</w:t>
      </w:r>
      <w:r>
        <w:rPr>
          <w:rFonts w:ascii="Times New Roman" w:hAnsi="Times New Roman" w:cs="Times New Roman"/>
          <w:szCs w:val="24"/>
        </w:rPr>
        <w:t>Sigma-Aldrich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Louis,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MO,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USA).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*For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detecting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primary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goat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antibody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with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Ultravision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LP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detection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system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(Thermo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Fisher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Scientific,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Waltham,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MA,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USA),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bridging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rabbit-anti-goat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antibody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(KPL,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Gaithersburg,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MD,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USA)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was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used.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overnight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incubation;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cryosection;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paraffin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section.</w:t>
      </w:r>
    </w:p>
    <w:p w:rsidR="00376F5D" w:rsidRDefault="00376F5D"/>
    <w:sectPr w:rsidR="00376F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DA0B7E"/>
    <w:rsid w:val="00376F5D"/>
    <w:rsid w:val="00DA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qFormat/>
    <w:rsid w:val="00DA0B7E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2023-10-07T11:04:00Z</dcterms:created>
  <dcterms:modified xsi:type="dcterms:W3CDTF">2023-10-07T11:05:00Z</dcterms:modified>
</cp:coreProperties>
</file>