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A5" w:rsidRPr="004A4250" w:rsidRDefault="000D0EA5" w:rsidP="000D0EA5">
      <w:pPr>
        <w:spacing w:after="0" w:line="480" w:lineRule="auto"/>
        <w:contextualSpacing/>
        <w:jc w:val="both"/>
        <w:rPr>
          <w:rFonts w:ascii="Times New Roman" w:hAnsi="Times New Roman" w:cs="Times New Roman"/>
        </w:rPr>
      </w:pPr>
      <w:r w:rsidRPr="004A4250">
        <w:rPr>
          <w:rFonts w:ascii="Times New Roman" w:hAnsi="Times New Roman" w:cs="Times New Roman"/>
          <w:b/>
          <w:bCs/>
          <w:szCs w:val="28"/>
        </w:rPr>
        <w:t>Supplementa</w:t>
      </w:r>
      <w:r w:rsidRPr="004A4250">
        <w:rPr>
          <w:rFonts w:ascii="Times New Roman" w:hAnsi="Times New Roman" w:cs="Times New Roman"/>
          <w:b/>
          <w:bCs/>
          <w:szCs w:val="28"/>
          <w:lang w:eastAsia="zh-CN"/>
        </w:rPr>
        <w:t>ry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4A4250">
        <w:rPr>
          <w:rFonts w:ascii="Times New Roman" w:hAnsi="Times New Roman" w:cs="Times New Roman"/>
          <w:b/>
          <w:bCs/>
          <w:szCs w:val="28"/>
        </w:rPr>
        <w:t>Table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4A4250">
        <w:rPr>
          <w:rFonts w:ascii="Times New Roman" w:hAnsi="Times New Roman" w:cs="Times New Roman"/>
          <w:b/>
          <w:bCs/>
          <w:szCs w:val="28"/>
        </w:rPr>
        <w:t>1.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4A4250">
        <w:rPr>
          <w:rFonts w:ascii="Times New Roman" w:hAnsi="Times New Roman" w:cs="Times New Roman"/>
          <w:b/>
          <w:bCs/>
          <w:szCs w:val="28"/>
        </w:rPr>
        <w:t>Comparison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4A4250">
        <w:rPr>
          <w:rFonts w:ascii="Times New Roman" w:hAnsi="Times New Roman" w:cs="Times New Roman"/>
          <w:b/>
          <w:bCs/>
          <w:szCs w:val="28"/>
        </w:rPr>
        <w:t>of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4A4250">
        <w:rPr>
          <w:rFonts w:ascii="Times New Roman" w:hAnsi="Times New Roman" w:cs="Times New Roman"/>
          <w:b/>
          <w:bCs/>
          <w:szCs w:val="28"/>
        </w:rPr>
        <w:t>various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4A4250">
        <w:rPr>
          <w:rFonts w:ascii="Times New Roman" w:hAnsi="Times New Roman" w:cs="Times New Roman"/>
          <w:b/>
          <w:bCs/>
          <w:szCs w:val="28"/>
        </w:rPr>
        <w:t>ultrasound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4A4250">
        <w:rPr>
          <w:rFonts w:ascii="Times New Roman" w:hAnsi="Times New Roman" w:cs="Times New Roman"/>
          <w:b/>
          <w:bCs/>
          <w:szCs w:val="28"/>
        </w:rPr>
        <w:t>contrast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4A4250">
        <w:rPr>
          <w:rFonts w:ascii="Times New Roman" w:hAnsi="Times New Roman" w:cs="Times New Roman"/>
          <w:b/>
          <w:bCs/>
          <w:szCs w:val="28"/>
        </w:rPr>
        <w:t>agents</w:t>
      </w:r>
    </w:p>
    <w:tbl>
      <w:tblPr>
        <w:tblpPr w:leftFromText="180" w:rightFromText="180" w:vertAnchor="page" w:horzAnchor="margin" w:tblpXSpec="center" w:tblpY="2201"/>
        <w:tblW w:w="11908" w:type="dxa"/>
        <w:tblCellMar>
          <w:left w:w="0" w:type="dxa"/>
          <w:right w:w="0" w:type="dxa"/>
        </w:tblCellMar>
        <w:tblLook w:val="04A0"/>
      </w:tblPr>
      <w:tblGrid>
        <w:gridCol w:w="2648"/>
        <w:gridCol w:w="2648"/>
        <w:gridCol w:w="2515"/>
        <w:gridCol w:w="2115"/>
        <w:gridCol w:w="1982"/>
      </w:tblGrid>
      <w:tr w:rsidR="000D0EA5" w:rsidRPr="004A4250" w:rsidTr="00DA4435">
        <w:trPr>
          <w:trHeight w:val="366"/>
        </w:trPr>
        <w:tc>
          <w:tcPr>
            <w:tcW w:w="2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  <w:b/>
                <w:bCs/>
              </w:rPr>
            </w:pPr>
            <w:r w:rsidRPr="004A4250">
              <w:rPr>
                <w:rFonts w:ascii="Times New Roman" w:eastAsia="宋体" w:hAnsi="Times New Roman" w:cs="Times New Roman"/>
                <w:b/>
                <w:bCs/>
                <w:lang w:eastAsia="zh-CN"/>
              </w:rPr>
              <w:t>P</w:t>
            </w:r>
            <w:r w:rsidRPr="004A4250">
              <w:rPr>
                <w:rFonts w:ascii="Times New Roman" w:eastAsia="宋体" w:hAnsi="Times New Roman" w:cs="Times New Roman"/>
                <w:b/>
                <w:bCs/>
              </w:rPr>
              <w:t>arameter</w:t>
            </w:r>
          </w:p>
        </w:tc>
        <w:tc>
          <w:tcPr>
            <w:tcW w:w="2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  <w:b/>
                <w:bCs/>
              </w:rPr>
            </w:pPr>
            <w:r w:rsidRPr="004A4250">
              <w:rPr>
                <w:rFonts w:ascii="Times New Roman" w:eastAsia="等线" w:hAnsi="Times New Roman" w:cs="Times New Roman"/>
                <w:b/>
                <w:bCs/>
              </w:rPr>
              <w:t>SonoVue/Lumason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  <w:b/>
                <w:bCs/>
              </w:rPr>
            </w:pPr>
            <w:r w:rsidRPr="004A4250">
              <w:rPr>
                <w:rFonts w:ascii="Times New Roman" w:eastAsia="等线" w:hAnsi="Times New Roman" w:cs="Times New Roman"/>
                <w:b/>
                <w:bCs/>
              </w:rPr>
              <w:t>Definity/Luminity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  <w:b/>
                <w:bCs/>
              </w:rPr>
            </w:pPr>
            <w:r w:rsidRPr="004A4250">
              <w:rPr>
                <w:rFonts w:ascii="Times New Roman" w:eastAsia="等线" w:hAnsi="Times New Roman" w:cs="Times New Roman"/>
                <w:b/>
                <w:bCs/>
              </w:rPr>
              <w:t>Optison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  <w:b/>
                <w:bCs/>
              </w:rPr>
            </w:pPr>
            <w:r w:rsidRPr="004A4250">
              <w:rPr>
                <w:rFonts w:ascii="Times New Roman" w:eastAsia="等线" w:hAnsi="Times New Roman" w:cs="Times New Roman"/>
                <w:b/>
                <w:bCs/>
              </w:rPr>
              <w:t>Sonazoid</w:t>
            </w:r>
          </w:p>
        </w:tc>
      </w:tr>
      <w:tr w:rsidR="000D0EA5" w:rsidRPr="004A4250" w:rsidTr="00DA4435">
        <w:trPr>
          <w:trHeight w:val="366"/>
        </w:trPr>
        <w:tc>
          <w:tcPr>
            <w:tcW w:w="264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Manufacturer</w:t>
            </w:r>
          </w:p>
        </w:tc>
        <w:tc>
          <w:tcPr>
            <w:tcW w:w="264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Bracco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Imaging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S.p.A.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Lantheus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Medical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Imaging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Inc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GE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Healthcare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等线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GE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Healthcare</w:t>
            </w:r>
          </w:p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/Daiichi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Sankyo</w:t>
            </w:r>
          </w:p>
        </w:tc>
      </w:tr>
      <w:tr w:rsidR="000D0EA5" w:rsidRPr="004A4250" w:rsidTr="00DA4435">
        <w:trPr>
          <w:trHeight w:val="540"/>
        </w:trPr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Approval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indication(s)</w:t>
            </w:r>
          </w:p>
        </w:tc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LVO/EBD,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breast,*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liver,*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vascular,*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urinary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tract</w:t>
            </w:r>
          </w:p>
        </w:tc>
        <w:tc>
          <w:tcPr>
            <w:tcW w:w="25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LVO/EBD,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breast,*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liver,*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vascular*</w:t>
            </w:r>
          </w:p>
        </w:tc>
        <w:tc>
          <w:tcPr>
            <w:tcW w:w="21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LVO/EBD</w:t>
            </w:r>
          </w:p>
        </w:tc>
        <w:tc>
          <w:tcPr>
            <w:tcW w:w="1982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Myocardial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perfusion,*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liver,*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breast*</w:t>
            </w:r>
          </w:p>
        </w:tc>
      </w:tr>
      <w:tr w:rsidR="000D0EA5" w:rsidRPr="004A4250" w:rsidTr="00DA4435">
        <w:trPr>
          <w:trHeight w:val="540"/>
        </w:trPr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Countries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available</w:t>
            </w:r>
          </w:p>
        </w:tc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North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America,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Europe,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Brazil,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Asia</w:t>
            </w:r>
          </w:p>
        </w:tc>
        <w:tc>
          <w:tcPr>
            <w:tcW w:w="25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North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America,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Europe,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Australia,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Asia</w:t>
            </w:r>
          </w:p>
        </w:tc>
        <w:tc>
          <w:tcPr>
            <w:tcW w:w="21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North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America,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Europe</w:t>
            </w:r>
          </w:p>
        </w:tc>
        <w:tc>
          <w:tcPr>
            <w:tcW w:w="1982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Japan,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South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Korea,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Norway,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Taiwan,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China</w:t>
            </w:r>
          </w:p>
        </w:tc>
      </w:tr>
      <w:tr w:rsidR="000D0EA5" w:rsidRPr="004A4250" w:rsidTr="00DA4435">
        <w:trPr>
          <w:trHeight w:val="366"/>
        </w:trPr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Shell/gas</w:t>
            </w:r>
          </w:p>
        </w:tc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Phospholipid/sulfur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hexafluoride</w:t>
            </w:r>
          </w:p>
        </w:tc>
        <w:tc>
          <w:tcPr>
            <w:tcW w:w="25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Phospholipid/perflutren</w:t>
            </w:r>
          </w:p>
        </w:tc>
        <w:tc>
          <w:tcPr>
            <w:tcW w:w="21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Albumin/perflutren</w:t>
            </w:r>
          </w:p>
        </w:tc>
        <w:tc>
          <w:tcPr>
            <w:tcW w:w="1982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Phospholipid/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perfluorobutane</w:t>
            </w:r>
          </w:p>
        </w:tc>
      </w:tr>
      <w:tr w:rsidR="000D0EA5" w:rsidRPr="004A4250" w:rsidTr="00DA4435">
        <w:trPr>
          <w:trHeight w:val="540"/>
        </w:trPr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Contraindications</w:t>
            </w:r>
          </w:p>
        </w:tc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Hypersensitivity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to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sulfur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hexafluoride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any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inactive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ingredient</w:t>
            </w:r>
          </w:p>
        </w:tc>
        <w:tc>
          <w:tcPr>
            <w:tcW w:w="25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Hypersensitivity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to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perflutren</w:t>
            </w:r>
          </w:p>
        </w:tc>
        <w:tc>
          <w:tcPr>
            <w:tcW w:w="21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Hypersensitivity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to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perflutren,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blood,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blood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products</w:t>
            </w:r>
          </w:p>
        </w:tc>
        <w:tc>
          <w:tcPr>
            <w:tcW w:w="1982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Egg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allergy</w:t>
            </w:r>
          </w:p>
        </w:tc>
      </w:tr>
      <w:tr w:rsidR="000D0EA5" w:rsidRPr="004A4250" w:rsidTr="00DA4435">
        <w:trPr>
          <w:trHeight w:val="720"/>
        </w:trPr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Vial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supplied</w:t>
            </w:r>
          </w:p>
        </w:tc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tabs>
                <w:tab w:val="left" w:pos="765"/>
              </w:tabs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10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vial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containing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25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powder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saline</w:t>
            </w:r>
          </w:p>
        </w:tc>
        <w:tc>
          <w:tcPr>
            <w:tcW w:w="25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vials</w:t>
            </w:r>
          </w:p>
        </w:tc>
        <w:tc>
          <w:tcPr>
            <w:tcW w:w="21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vials</w:t>
            </w:r>
          </w:p>
        </w:tc>
        <w:tc>
          <w:tcPr>
            <w:tcW w:w="1982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16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of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perflubutane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microbubbles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one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vial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sterile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water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for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injection</w:t>
            </w:r>
          </w:p>
        </w:tc>
      </w:tr>
      <w:tr w:rsidR="000D0EA5" w:rsidRPr="004A4250" w:rsidTr="00DA4435">
        <w:trPr>
          <w:trHeight w:val="366"/>
        </w:trPr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Storage</w:t>
            </w:r>
          </w:p>
        </w:tc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Room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temperature</w:t>
            </w:r>
          </w:p>
        </w:tc>
        <w:tc>
          <w:tcPr>
            <w:tcW w:w="25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2–8°C</w:t>
            </w:r>
          </w:p>
        </w:tc>
        <w:tc>
          <w:tcPr>
            <w:tcW w:w="21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2–8°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C</w:t>
            </w:r>
          </w:p>
        </w:tc>
        <w:tc>
          <w:tcPr>
            <w:tcW w:w="1982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Below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25˚C</w:t>
            </w:r>
          </w:p>
        </w:tc>
      </w:tr>
      <w:tr w:rsidR="000D0EA5" w:rsidRPr="004A4250" w:rsidTr="00DA4435">
        <w:trPr>
          <w:trHeight w:val="720"/>
        </w:trPr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Typical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doses</w:t>
            </w:r>
          </w:p>
        </w:tc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of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reconstituted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agent</w:t>
            </w:r>
          </w:p>
        </w:tc>
        <w:tc>
          <w:tcPr>
            <w:tcW w:w="25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Weight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based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bolus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(10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mL/kg)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infusion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rate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of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4.0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mL/m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of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1.3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+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50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saline</w:t>
            </w:r>
          </w:p>
        </w:tc>
        <w:tc>
          <w:tcPr>
            <w:tcW w:w="21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0.5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</w:t>
            </w:r>
          </w:p>
        </w:tc>
        <w:tc>
          <w:tcPr>
            <w:tcW w:w="1982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Weight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based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15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mL/kg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0.12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MB/kg</w:t>
            </w:r>
          </w:p>
        </w:tc>
      </w:tr>
      <w:tr w:rsidR="000D0EA5" w:rsidRPr="004A4250" w:rsidTr="00DA4435">
        <w:trPr>
          <w:trHeight w:val="900"/>
        </w:trPr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Administration</w:t>
            </w:r>
          </w:p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recommendation</w:t>
            </w:r>
          </w:p>
        </w:tc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Bolus</w:t>
            </w:r>
          </w:p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Bolus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dose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can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repeated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once</w:t>
            </w:r>
          </w:p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Doses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varies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depending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age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and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indication</w:t>
            </w:r>
          </w:p>
        </w:tc>
        <w:tc>
          <w:tcPr>
            <w:tcW w:w="25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Bolus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infusion</w:t>
            </w:r>
          </w:p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Dose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varies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based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organ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being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imaged</w:t>
            </w:r>
          </w:p>
        </w:tc>
        <w:tc>
          <w:tcPr>
            <w:tcW w:w="21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Rate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not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exceed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mL/s,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Max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dose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10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m: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</w:t>
            </w:r>
            <w:r w:rsidRPr="004A4250">
              <w:rPr>
                <w:rFonts w:ascii="Times New Roman" w:eastAsia="宋体" w:hAnsi="Times New Roman" w:cs="Times New Roman"/>
              </w:rPr>
              <w:t>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Max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dose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for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one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study: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8.7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mL</w:t>
            </w:r>
          </w:p>
        </w:tc>
        <w:tc>
          <w:tcPr>
            <w:tcW w:w="1982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Bolus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infusion</w:t>
            </w:r>
          </w:p>
        </w:tc>
      </w:tr>
      <w:tr w:rsidR="000D0EA5" w:rsidRPr="004A4250" w:rsidTr="00DA4435">
        <w:trPr>
          <w:trHeight w:val="366"/>
        </w:trPr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MI</w:t>
            </w:r>
          </w:p>
        </w:tc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MI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≤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0.8</w:t>
            </w:r>
          </w:p>
        </w:tc>
        <w:tc>
          <w:tcPr>
            <w:tcW w:w="25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MI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≤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0.8</w:t>
            </w:r>
          </w:p>
        </w:tc>
        <w:tc>
          <w:tcPr>
            <w:tcW w:w="21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Safety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of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MI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&gt;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0.8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has</w:t>
            </w:r>
          </w:p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lastRenderedPageBreak/>
              <w:t>not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been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tested</w:t>
            </w:r>
          </w:p>
        </w:tc>
        <w:tc>
          <w:tcPr>
            <w:tcW w:w="1982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lastRenderedPageBreak/>
              <w:t>MI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≤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0.8</w:t>
            </w:r>
          </w:p>
        </w:tc>
      </w:tr>
      <w:tr w:rsidR="000D0EA5" w:rsidRPr="004A4250" w:rsidTr="00DA4435">
        <w:trPr>
          <w:trHeight w:val="540"/>
        </w:trPr>
        <w:tc>
          <w:tcPr>
            <w:tcW w:w="264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lastRenderedPageBreak/>
              <w:t>Application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notes</w:t>
            </w:r>
          </w:p>
        </w:tc>
        <w:tc>
          <w:tcPr>
            <w:tcW w:w="2648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Approved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for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use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pediatric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populations</w:t>
            </w:r>
          </w:p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Reconstitution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by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hand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mixing</w:t>
            </w:r>
          </w:p>
        </w:tc>
        <w:tc>
          <w:tcPr>
            <w:tcW w:w="25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Bolus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infusion</w:t>
            </w:r>
          </w:p>
        </w:tc>
        <w:tc>
          <w:tcPr>
            <w:tcW w:w="2115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Resuspend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by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hand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mixing</w:t>
            </w:r>
          </w:p>
        </w:tc>
        <w:tc>
          <w:tcPr>
            <w:tcW w:w="1982" w:type="dxa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Bolus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infusion</w:t>
            </w:r>
          </w:p>
        </w:tc>
      </w:tr>
      <w:tr w:rsidR="000D0EA5" w:rsidRPr="004A4250" w:rsidTr="00DA4435">
        <w:trPr>
          <w:trHeight w:val="9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Bolus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and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infusion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dosing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are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used,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although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package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insert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only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describes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bolus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dosing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Requires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45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activation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on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VialMix.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Hand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agitation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thereafter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if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being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used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&gt;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m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after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activation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Bolus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and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infusion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dosing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are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used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90" w:type="dxa"/>
              <w:bottom w:w="0" w:type="dxa"/>
              <w:right w:w="90" w:type="dxa"/>
            </w:tcMar>
          </w:tcPr>
          <w:p w:rsidR="000D0EA5" w:rsidRPr="004A4250" w:rsidRDefault="000D0EA5" w:rsidP="00DA4435">
            <w:pPr>
              <w:rPr>
                <w:rFonts w:ascii="Times New Roman" w:eastAsia="宋体" w:hAnsi="Times New Roman" w:cs="Times New Roman"/>
              </w:rPr>
            </w:pPr>
            <w:r w:rsidRPr="004A4250">
              <w:rPr>
                <w:rFonts w:ascii="Times New Roman" w:eastAsia="等线" w:hAnsi="Times New Roman" w:cs="Times New Roman"/>
              </w:rPr>
              <w:t>Re-injection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can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be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used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for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Kupffer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phase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4A4250">
              <w:rPr>
                <w:rFonts w:ascii="Times New Roman" w:eastAsia="等线" w:hAnsi="Times New Roman" w:cs="Times New Roman"/>
              </w:rPr>
              <w:t>imaging</w:t>
            </w:r>
          </w:p>
        </w:tc>
      </w:tr>
    </w:tbl>
    <w:p w:rsidR="000D0EA5" w:rsidRPr="004A4250" w:rsidRDefault="000D0EA5" w:rsidP="000D0EA5">
      <w:pPr>
        <w:rPr>
          <w:rFonts w:ascii="Times New Roman" w:eastAsia="等线" w:hAnsi="Times New Roman" w:cs="Times New Roman"/>
          <w:kern w:val="24"/>
        </w:rPr>
      </w:pPr>
      <w:r w:rsidRPr="004A4250">
        <w:rPr>
          <w:rFonts w:ascii="Times New Roman" w:eastAsia="等线" w:hAnsi="Times New Roman" w:cs="Times New Roman"/>
          <w:kern w:val="24"/>
        </w:rPr>
        <w:t>*Only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in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certain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countries.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Adapted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from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Chang,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2018</w:t>
      </w:r>
      <w:r w:rsidRPr="004A4250">
        <w:rPr>
          <w:rFonts w:ascii="Times New Roman" w:eastAsia="等线" w:hAnsi="Times New Roman" w:cs="Times New Roman"/>
          <w:kern w:val="24"/>
          <w:vertAlign w:val="superscript"/>
        </w:rPr>
        <w:t>6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and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Frinking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2659D9">
        <w:rPr>
          <w:rFonts w:ascii="Times New Roman" w:eastAsia="等线" w:hAnsi="Times New Roman" w:cs="Times New Roman"/>
          <w:i/>
          <w:kern w:val="24"/>
        </w:rPr>
        <w:t>et</w:t>
      </w:r>
      <w:r>
        <w:rPr>
          <w:rFonts w:ascii="Times New Roman" w:eastAsia="等线" w:hAnsi="Times New Roman" w:cs="Times New Roman"/>
          <w:i/>
          <w:kern w:val="24"/>
        </w:rPr>
        <w:t xml:space="preserve"> </w:t>
      </w:r>
      <w:r w:rsidRPr="002659D9">
        <w:rPr>
          <w:rFonts w:ascii="Times New Roman" w:eastAsia="等线" w:hAnsi="Times New Roman" w:cs="Times New Roman"/>
          <w:i/>
          <w:kern w:val="24"/>
        </w:rPr>
        <w:t>al</w:t>
      </w:r>
      <w:r w:rsidRPr="004A4250">
        <w:rPr>
          <w:rFonts w:ascii="Times New Roman" w:eastAsia="等线" w:hAnsi="Times New Roman" w:cs="Times New Roman"/>
          <w:kern w:val="24"/>
        </w:rPr>
        <w:t>.,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2020.</w:t>
      </w:r>
      <w:r w:rsidRPr="004A4250">
        <w:rPr>
          <w:rFonts w:ascii="Times New Roman" w:eastAsia="等线" w:hAnsi="Times New Roman" w:cs="Times New Roman"/>
          <w:kern w:val="24"/>
          <w:vertAlign w:val="superscript"/>
        </w:rPr>
        <w:t>7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EBD,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endocardial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border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definition;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LVO,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left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ventricular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opacification;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MB,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microbubble;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MI,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mechanical</w:t>
      </w:r>
      <w:r>
        <w:rPr>
          <w:rFonts w:ascii="Times New Roman" w:eastAsia="等线" w:hAnsi="Times New Roman" w:cs="Times New Roman"/>
          <w:kern w:val="24"/>
        </w:rPr>
        <w:t xml:space="preserve"> </w:t>
      </w:r>
      <w:r w:rsidRPr="004A4250">
        <w:rPr>
          <w:rFonts w:ascii="Times New Roman" w:eastAsia="等线" w:hAnsi="Times New Roman" w:cs="Times New Roman"/>
          <w:kern w:val="24"/>
        </w:rPr>
        <w:t>index.</w:t>
      </w:r>
    </w:p>
    <w:p w:rsidR="00000000" w:rsidRDefault="00236562"/>
    <w:p w:rsidR="00236562" w:rsidRDefault="00236562">
      <w:r>
        <w:t>References</w:t>
      </w:r>
    </w:p>
    <w:p w:rsidR="00236562" w:rsidRDefault="00236562"/>
    <w:p w:rsidR="00236562" w:rsidRPr="004A4250" w:rsidRDefault="00236562" w:rsidP="00236562">
      <w:pPr>
        <w:widowControl w:val="0"/>
        <w:spacing w:after="0" w:line="480" w:lineRule="auto"/>
        <w:ind w:left="420" w:hanging="420"/>
        <w:contextualSpacing/>
        <w:jc w:val="both"/>
        <w:rPr>
          <w:rFonts w:ascii="Times New Roman" w:eastAsia="等线" w:hAnsi="Times New Roman" w:cs="Times New Roman"/>
          <w:lang w:eastAsia="zh-CN"/>
        </w:rPr>
      </w:pPr>
      <w:r w:rsidRPr="004A4250">
        <w:rPr>
          <w:rFonts w:ascii="Times New Roman" w:eastAsia="等线" w:hAnsi="Times New Roman" w:cs="Times New Roman"/>
          <w:lang w:eastAsia="zh-CN"/>
        </w:rPr>
        <w:t>6.</w:t>
      </w:r>
      <w:r>
        <w:rPr>
          <w:rFonts w:ascii="Times New Roman" w:eastAsia="等线" w:hAnsi="Times New Roman" w:cs="Times New Roman"/>
          <w:lang w:eastAsia="zh-CN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Chang EH. An Introduction to Contrast-Enhanced Ultrasound for Nephrologists. Nephron 2018;138(3):176-185. doi: 10.1159/000484635. PubMed PMID: 29131073.</w:t>
      </w:r>
    </w:p>
    <w:p w:rsidR="00236562" w:rsidRPr="004A4250" w:rsidRDefault="00236562" w:rsidP="00236562">
      <w:pPr>
        <w:widowControl w:val="0"/>
        <w:spacing w:after="0" w:line="480" w:lineRule="auto"/>
        <w:ind w:left="420" w:hanging="420"/>
        <w:contextualSpacing/>
        <w:jc w:val="both"/>
        <w:rPr>
          <w:rFonts w:ascii="Times New Roman" w:eastAsia="等线" w:hAnsi="Times New Roman" w:cs="Times New Roman"/>
          <w:lang w:eastAsia="zh-CN"/>
        </w:rPr>
      </w:pPr>
      <w:r w:rsidRPr="004A4250">
        <w:rPr>
          <w:rFonts w:ascii="Times New Roman" w:eastAsia="等线" w:hAnsi="Times New Roman" w:cs="Times New Roman"/>
          <w:lang w:eastAsia="zh-CN"/>
        </w:rPr>
        <w:t>7.</w:t>
      </w:r>
      <w:r>
        <w:rPr>
          <w:rFonts w:ascii="Times New Roman" w:eastAsia="等线" w:hAnsi="Times New Roman" w:cs="Times New Roman"/>
          <w:lang w:eastAsia="zh-CN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Frinking P, Segers T, Luan Y, Tranquart F. Three Decades of Ultrasound Contrast Agents: A Review of the Past, Present and Future Improvements. Ultrasound Med Biol 2020;46(4):892-908. doi: 10.1016/j.ultrasmedbio.2019.12.008. PubMed PMID: 31941587.</w:t>
      </w:r>
    </w:p>
    <w:p w:rsidR="00236562" w:rsidRDefault="00236562"/>
    <w:sectPr w:rsidR="002365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0D0EA5"/>
    <w:rsid w:val="000D0EA5"/>
    <w:rsid w:val="0023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2024-04-26T00:27:00Z</dcterms:created>
  <dcterms:modified xsi:type="dcterms:W3CDTF">2024-04-26T00:28:00Z</dcterms:modified>
</cp:coreProperties>
</file>