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05" w:rsidRDefault="00960105" w:rsidP="00960105">
      <w:pPr>
        <w:spacing w:line="360" w:lineRule="auto"/>
        <w:jc w:val="both"/>
        <w:rPr>
          <w:b/>
          <w:bCs/>
          <w:kern w:val="2"/>
          <w:lang w:eastAsia="zh-CN"/>
        </w:rPr>
      </w:pPr>
      <w:r>
        <w:rPr>
          <w:rFonts w:eastAsia="宋体"/>
          <w:b/>
          <w:bCs/>
          <w:kern w:val="2"/>
          <w:lang w:eastAsia="zh-CN"/>
        </w:rPr>
        <w:t>Supplementary Table 4.</w:t>
      </w:r>
      <w:r>
        <w:rPr>
          <w:b/>
          <w:bCs/>
          <w:kern w:val="2"/>
          <w:lang w:eastAsia="zh-CN"/>
        </w:rPr>
        <w:t xml:space="preserve"> Comparison of the diagnostic accuracy of LG and other noninvasive markers of significant liver inflammation in cohort I</w:t>
      </w:r>
    </w:p>
    <w:tbl>
      <w:tblPr>
        <w:tblStyle w:val="TableGrid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"/>
        <w:gridCol w:w="2126"/>
        <w:gridCol w:w="1134"/>
        <w:gridCol w:w="1701"/>
        <w:gridCol w:w="1417"/>
        <w:gridCol w:w="993"/>
      </w:tblGrid>
      <w:tr w:rsidR="00960105" w:rsidTr="00FC58C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960105" w:rsidRDefault="00960105" w:rsidP="00FC58CC">
            <w:pPr>
              <w:widowControl w:val="0"/>
              <w:spacing w:line="360" w:lineRule="auto"/>
              <w:jc w:val="both"/>
              <w:rPr>
                <w:b/>
              </w:rPr>
            </w:pPr>
            <w:bookmarkStart w:id="0" w:name="_Hlk71790997"/>
            <w:r>
              <w:rPr>
                <w:b/>
                <w:kern w:val="0"/>
              </w:rPr>
              <w:t>Model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60105" w:rsidRDefault="00960105" w:rsidP="00FC58CC">
            <w:pPr>
              <w:widowControl w:val="0"/>
              <w:spacing w:line="360" w:lineRule="auto"/>
              <w:jc w:val="both"/>
              <w:rPr>
                <w:b/>
              </w:rPr>
            </w:pPr>
            <w:r>
              <w:rPr>
                <w:b/>
                <w:kern w:val="0"/>
              </w:rPr>
              <w:t>AUC (95%CI)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60105" w:rsidRDefault="00960105" w:rsidP="00FC58CC">
            <w:pPr>
              <w:widowControl w:val="0"/>
              <w:spacing w:line="360" w:lineRule="auto"/>
              <w:jc w:val="both"/>
              <w:rPr>
                <w:b/>
              </w:rPr>
            </w:pPr>
            <w:r>
              <w:rPr>
                <w:b/>
                <w:kern w:val="0"/>
              </w:rPr>
              <w:t>Cutoff values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0105" w:rsidRDefault="00960105" w:rsidP="00FC58CC">
            <w:pPr>
              <w:widowControl w:val="0"/>
              <w:spacing w:line="360" w:lineRule="auto"/>
              <w:jc w:val="both"/>
              <w:rPr>
                <w:b/>
              </w:rPr>
            </w:pPr>
            <w:r>
              <w:rPr>
                <w:b/>
                <w:kern w:val="0"/>
              </w:rPr>
              <w:t>Sensitivity/ specificity (%)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0105" w:rsidRDefault="00960105" w:rsidP="00FC58CC">
            <w:pPr>
              <w:widowControl w:val="0"/>
              <w:spacing w:line="360" w:lineRule="auto"/>
              <w:jc w:val="both"/>
              <w:rPr>
                <w:b/>
              </w:rPr>
            </w:pPr>
            <w:r>
              <w:rPr>
                <w:b/>
                <w:kern w:val="0"/>
              </w:rPr>
              <w:t>PPV/NPV (%)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60105" w:rsidRDefault="00960105" w:rsidP="00FC58CC">
            <w:pPr>
              <w:widowControl w:val="0"/>
              <w:spacing w:line="360" w:lineRule="auto"/>
              <w:jc w:val="both"/>
              <w:rPr>
                <w:b/>
              </w:rPr>
            </w:pPr>
            <w:r>
              <w:rPr>
                <w:b/>
                <w:i/>
                <w:kern w:val="0"/>
              </w:rPr>
              <w:t>p-</w:t>
            </w:r>
            <w:r>
              <w:rPr>
                <w:b/>
                <w:kern w:val="0"/>
              </w:rPr>
              <w:t>value</w:t>
            </w:r>
          </w:p>
        </w:tc>
      </w:tr>
      <w:bookmarkEnd w:id="0"/>
      <w:tr w:rsidR="00960105" w:rsidTr="00FC58CC">
        <w:tc>
          <w:tcPr>
            <w:tcW w:w="988" w:type="dxa"/>
            <w:tcBorders>
              <w:top w:val="single" w:sz="4" w:space="0" w:color="auto"/>
            </w:tcBorders>
          </w:tcPr>
          <w:p w:rsidR="00960105" w:rsidRDefault="00960105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LG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60105" w:rsidRDefault="00960105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0.815 (0.775</w:t>
            </w:r>
            <w:r>
              <w:rPr>
                <w:iCs/>
              </w:rPr>
              <w:t>–</w:t>
            </w:r>
            <w:r>
              <w:rPr>
                <w:kern w:val="0"/>
              </w:rPr>
              <w:t>0.850)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60105" w:rsidRDefault="00960105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0.409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60105" w:rsidRDefault="00960105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76.89/71.37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60105" w:rsidRDefault="00960105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72.87/75.54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60105" w:rsidRDefault="00960105" w:rsidP="00FC58CC">
            <w:pPr>
              <w:widowControl w:val="0"/>
              <w:spacing w:line="360" w:lineRule="auto"/>
              <w:jc w:val="both"/>
            </w:pPr>
          </w:p>
        </w:tc>
      </w:tr>
      <w:tr w:rsidR="00960105" w:rsidTr="00FC58CC">
        <w:tc>
          <w:tcPr>
            <w:tcW w:w="988" w:type="dxa"/>
          </w:tcPr>
          <w:p w:rsidR="00960105" w:rsidRDefault="00960105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LSM</w:t>
            </w:r>
          </w:p>
        </w:tc>
        <w:tc>
          <w:tcPr>
            <w:tcW w:w="2126" w:type="dxa"/>
          </w:tcPr>
          <w:p w:rsidR="00960105" w:rsidRDefault="00960105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0.800 (0.760</w:t>
            </w:r>
            <w:r>
              <w:rPr>
                <w:iCs/>
              </w:rPr>
              <w:t>–</w:t>
            </w:r>
            <w:r>
              <w:rPr>
                <w:kern w:val="0"/>
              </w:rPr>
              <w:t>0.837)</w:t>
            </w:r>
          </w:p>
        </w:tc>
        <w:tc>
          <w:tcPr>
            <w:tcW w:w="1134" w:type="dxa"/>
          </w:tcPr>
          <w:p w:rsidR="00960105" w:rsidRDefault="00960105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6.3</w:t>
            </w:r>
          </w:p>
        </w:tc>
        <w:tc>
          <w:tcPr>
            <w:tcW w:w="1701" w:type="dxa"/>
          </w:tcPr>
          <w:p w:rsidR="00960105" w:rsidRDefault="00960105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80.19/66.96</w:t>
            </w:r>
          </w:p>
        </w:tc>
        <w:tc>
          <w:tcPr>
            <w:tcW w:w="1417" w:type="dxa"/>
          </w:tcPr>
          <w:p w:rsidR="00960105" w:rsidRDefault="00960105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70.82/77.17</w:t>
            </w:r>
          </w:p>
        </w:tc>
        <w:tc>
          <w:tcPr>
            <w:tcW w:w="993" w:type="dxa"/>
          </w:tcPr>
          <w:p w:rsidR="00960105" w:rsidRDefault="00960105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0.206</w:t>
            </w:r>
          </w:p>
        </w:tc>
      </w:tr>
      <w:tr w:rsidR="00960105" w:rsidTr="00FC58CC">
        <w:tc>
          <w:tcPr>
            <w:tcW w:w="988" w:type="dxa"/>
          </w:tcPr>
          <w:p w:rsidR="00960105" w:rsidRDefault="00960105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GLOB</w:t>
            </w:r>
          </w:p>
        </w:tc>
        <w:tc>
          <w:tcPr>
            <w:tcW w:w="2126" w:type="dxa"/>
          </w:tcPr>
          <w:p w:rsidR="00960105" w:rsidRDefault="00960105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0.676 (0.630</w:t>
            </w:r>
            <w:r>
              <w:rPr>
                <w:iCs/>
              </w:rPr>
              <w:t>–</w:t>
            </w:r>
            <w:r>
              <w:rPr>
                <w:kern w:val="0"/>
              </w:rPr>
              <w:t>0.720)</w:t>
            </w:r>
          </w:p>
        </w:tc>
        <w:tc>
          <w:tcPr>
            <w:tcW w:w="1134" w:type="dxa"/>
          </w:tcPr>
          <w:p w:rsidR="00960105" w:rsidRDefault="00960105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29</w:t>
            </w:r>
          </w:p>
        </w:tc>
        <w:tc>
          <w:tcPr>
            <w:tcW w:w="1701" w:type="dxa"/>
          </w:tcPr>
          <w:p w:rsidR="00960105" w:rsidRDefault="00960105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56.60/71.81</w:t>
            </w:r>
          </w:p>
        </w:tc>
        <w:tc>
          <w:tcPr>
            <w:tcW w:w="1417" w:type="dxa"/>
          </w:tcPr>
          <w:p w:rsidR="00960105" w:rsidRDefault="00960105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66.75/62.33</w:t>
            </w:r>
          </w:p>
        </w:tc>
        <w:tc>
          <w:tcPr>
            <w:tcW w:w="993" w:type="dxa"/>
          </w:tcPr>
          <w:p w:rsidR="00960105" w:rsidRDefault="00960105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&lt; 0.001</w:t>
            </w:r>
          </w:p>
        </w:tc>
      </w:tr>
      <w:tr w:rsidR="00960105" w:rsidTr="00FC58CC">
        <w:tc>
          <w:tcPr>
            <w:tcW w:w="988" w:type="dxa"/>
          </w:tcPr>
          <w:p w:rsidR="00960105" w:rsidRDefault="00960105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ALT</w:t>
            </w:r>
          </w:p>
        </w:tc>
        <w:tc>
          <w:tcPr>
            <w:tcW w:w="2126" w:type="dxa"/>
          </w:tcPr>
          <w:p w:rsidR="00960105" w:rsidRDefault="00960105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0.557 (0.510</w:t>
            </w:r>
            <w:r>
              <w:rPr>
                <w:iCs/>
              </w:rPr>
              <w:t>–</w:t>
            </w:r>
            <w:r>
              <w:rPr>
                <w:kern w:val="0"/>
              </w:rPr>
              <w:t>0.605)</w:t>
            </w:r>
          </w:p>
        </w:tc>
        <w:tc>
          <w:tcPr>
            <w:tcW w:w="1134" w:type="dxa"/>
          </w:tcPr>
          <w:p w:rsidR="00960105" w:rsidRDefault="00960105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27</w:t>
            </w:r>
          </w:p>
        </w:tc>
        <w:tc>
          <w:tcPr>
            <w:tcW w:w="1701" w:type="dxa"/>
          </w:tcPr>
          <w:p w:rsidR="00960105" w:rsidRDefault="00960105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54.25/59.47</w:t>
            </w:r>
          </w:p>
        </w:tc>
        <w:tc>
          <w:tcPr>
            <w:tcW w:w="1417" w:type="dxa"/>
          </w:tcPr>
          <w:p w:rsidR="00960105" w:rsidRDefault="00960105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57.24/56.52</w:t>
            </w:r>
          </w:p>
        </w:tc>
        <w:tc>
          <w:tcPr>
            <w:tcW w:w="993" w:type="dxa"/>
          </w:tcPr>
          <w:p w:rsidR="00960105" w:rsidRDefault="00960105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&lt; 0.001</w:t>
            </w:r>
          </w:p>
        </w:tc>
      </w:tr>
      <w:tr w:rsidR="00960105" w:rsidTr="00FC58CC">
        <w:tc>
          <w:tcPr>
            <w:tcW w:w="988" w:type="dxa"/>
            <w:tcBorders>
              <w:bottom w:val="single" w:sz="4" w:space="0" w:color="auto"/>
            </w:tcBorders>
          </w:tcPr>
          <w:p w:rsidR="00960105" w:rsidRDefault="00960105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AST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0105" w:rsidRDefault="00960105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0.621 (0.574</w:t>
            </w:r>
            <w:r>
              <w:rPr>
                <w:iCs/>
              </w:rPr>
              <w:t>–</w:t>
            </w:r>
            <w:r>
              <w:rPr>
                <w:kern w:val="0"/>
              </w:rPr>
              <w:t>0.667)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105" w:rsidRDefault="00960105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0105" w:rsidRDefault="00960105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76.78/41.85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0105" w:rsidRDefault="00960105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56.90/64.32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60105" w:rsidRDefault="00960105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&lt; 0.001</w:t>
            </w:r>
          </w:p>
        </w:tc>
      </w:tr>
    </w:tbl>
    <w:p w:rsidR="00960105" w:rsidRDefault="00960105" w:rsidP="00960105">
      <w:pPr>
        <w:widowControl w:val="0"/>
        <w:spacing w:line="360" w:lineRule="auto"/>
        <w:jc w:val="both"/>
        <w:rPr>
          <w:rFonts w:eastAsia="等线"/>
          <w:spacing w:val="3"/>
          <w:kern w:val="2"/>
          <w:shd w:val="clear" w:color="auto" w:fill="FFFFFF"/>
          <w:lang w:eastAsia="zh-CN"/>
        </w:rPr>
      </w:pPr>
      <w:r>
        <w:rPr>
          <w:rFonts w:eastAsia="等线"/>
          <w:spacing w:val="3"/>
          <w:kern w:val="2"/>
          <w:shd w:val="clear" w:color="auto" w:fill="FFFFFF"/>
          <w:lang w:eastAsia="zh-CN"/>
        </w:rPr>
        <w:t xml:space="preserve">ALT, </w:t>
      </w:r>
      <w:r>
        <w:rPr>
          <w:rFonts w:eastAsia="等线" w:hint="eastAsia"/>
          <w:spacing w:val="3"/>
          <w:kern w:val="2"/>
          <w:shd w:val="clear" w:color="auto" w:fill="FFFFFF"/>
          <w:lang w:eastAsia="zh-CN"/>
        </w:rPr>
        <w:t>a</w:t>
      </w:r>
      <w:r>
        <w:rPr>
          <w:rFonts w:eastAsia="等线"/>
          <w:spacing w:val="3"/>
          <w:kern w:val="2"/>
          <w:shd w:val="clear" w:color="auto" w:fill="FFFFFF"/>
          <w:lang w:eastAsia="zh-CN"/>
        </w:rPr>
        <w:t xml:space="preserve">lanine aminotransferase; AST, </w:t>
      </w:r>
      <w:r>
        <w:rPr>
          <w:rFonts w:eastAsia="等线" w:hint="eastAsia"/>
          <w:spacing w:val="3"/>
          <w:kern w:val="2"/>
          <w:shd w:val="clear" w:color="auto" w:fill="FFFFFF"/>
          <w:lang w:eastAsia="zh-CN"/>
        </w:rPr>
        <w:t>a</w:t>
      </w:r>
      <w:r>
        <w:rPr>
          <w:rFonts w:eastAsia="等线"/>
          <w:spacing w:val="3"/>
          <w:kern w:val="2"/>
          <w:shd w:val="clear" w:color="auto" w:fill="FFFFFF"/>
          <w:lang w:eastAsia="zh-CN"/>
        </w:rPr>
        <w:t>spartate aminotransferase</w:t>
      </w:r>
      <w:r>
        <w:rPr>
          <w:rFonts w:eastAsia="等线" w:hint="eastAsia"/>
          <w:spacing w:val="3"/>
          <w:kern w:val="2"/>
          <w:shd w:val="clear" w:color="auto" w:fill="FFFFFF"/>
          <w:lang w:eastAsia="zh-CN"/>
        </w:rPr>
        <w:t xml:space="preserve">; </w:t>
      </w:r>
      <w:r>
        <w:rPr>
          <w:rFonts w:eastAsia="等线"/>
          <w:kern w:val="2"/>
          <w:lang w:eastAsia="zh-CN"/>
        </w:rPr>
        <w:t xml:space="preserve">GLOB, </w:t>
      </w:r>
      <w:bookmarkStart w:id="1" w:name="_Hlk71812016"/>
      <w:r>
        <w:rPr>
          <w:rFonts w:eastAsia="等线" w:hint="eastAsia"/>
          <w:kern w:val="2"/>
          <w:lang w:eastAsia="zh-CN"/>
        </w:rPr>
        <w:t>g</w:t>
      </w:r>
      <w:r>
        <w:rPr>
          <w:rFonts w:eastAsia="等线"/>
          <w:kern w:val="2"/>
          <w:lang w:eastAsia="zh-CN"/>
        </w:rPr>
        <w:t>lobulin</w:t>
      </w:r>
      <w:bookmarkEnd w:id="1"/>
      <w:r>
        <w:rPr>
          <w:rFonts w:eastAsia="等线"/>
          <w:kern w:val="2"/>
          <w:lang w:eastAsia="zh-CN"/>
        </w:rPr>
        <w:t xml:space="preserve">; LSM, Liver stiffness measurements; </w:t>
      </w:r>
      <w:r>
        <w:rPr>
          <w:iCs/>
          <w:kern w:val="2"/>
          <w:lang w:eastAsia="zh-CN"/>
        </w:rPr>
        <w:t>LG,</w:t>
      </w:r>
      <w:r>
        <w:rPr>
          <w:rFonts w:eastAsia="等线"/>
          <w:kern w:val="2"/>
          <w:lang w:eastAsia="zh-CN"/>
        </w:rPr>
        <w:t xml:space="preserve"> </w:t>
      </w:r>
      <w:r>
        <w:rPr>
          <w:rFonts w:eastAsia="等线" w:hint="eastAsia"/>
          <w:kern w:val="2"/>
          <w:lang w:eastAsia="zh-CN"/>
        </w:rPr>
        <w:t>l</w:t>
      </w:r>
      <w:r>
        <w:rPr>
          <w:rFonts w:eastAsia="等线"/>
          <w:kern w:val="2"/>
          <w:lang w:eastAsia="zh-CN"/>
        </w:rPr>
        <w:t>iver stiffness measurements–</w:t>
      </w:r>
      <w:r>
        <w:rPr>
          <w:rFonts w:eastAsia="等线" w:hint="eastAsia"/>
          <w:kern w:val="2"/>
          <w:lang w:eastAsia="zh-CN"/>
        </w:rPr>
        <w:t>g</w:t>
      </w:r>
      <w:r>
        <w:rPr>
          <w:rFonts w:eastAsia="等线"/>
          <w:kern w:val="2"/>
          <w:lang w:eastAsia="zh-CN"/>
        </w:rPr>
        <w:t>lobulin model</w:t>
      </w:r>
      <w:r>
        <w:rPr>
          <w:rFonts w:eastAsia="等线" w:hint="eastAsia"/>
          <w:kern w:val="2"/>
          <w:lang w:eastAsia="zh-CN"/>
        </w:rPr>
        <w:t>.</w:t>
      </w:r>
    </w:p>
    <w:p w:rsidR="00E72D43" w:rsidRDefault="00E72D43"/>
    <w:sectPr w:rsidR="00E72D4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960105"/>
    <w:rsid w:val="00960105"/>
    <w:rsid w:val="00E7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960105"/>
    <w:pPr>
      <w:spacing w:after="0" w:line="240" w:lineRule="auto"/>
    </w:pPr>
    <w:rPr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2023-01-08T03:03:00Z</dcterms:created>
  <dcterms:modified xsi:type="dcterms:W3CDTF">2023-01-08T03:03:00Z</dcterms:modified>
</cp:coreProperties>
</file>