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EB" w:rsidRDefault="00E653EB" w:rsidP="00E653EB">
      <w:pPr>
        <w:widowControl w:val="0"/>
        <w:snapToGrid w:val="0"/>
        <w:spacing w:line="360" w:lineRule="auto"/>
        <w:jc w:val="both"/>
        <w:rPr>
          <w:kern w:val="2"/>
          <w:lang w:eastAsia="zh-CN"/>
        </w:rPr>
      </w:pPr>
      <w:r>
        <w:rPr>
          <w:rFonts w:eastAsia="宋体"/>
          <w:b/>
          <w:bCs/>
          <w:kern w:val="2"/>
          <w:lang w:eastAsia="zh-CN"/>
        </w:rPr>
        <w:t>Supplementary Table 3. Demographic characteristics and clinical features of the training group and three validation groups</w:t>
      </w:r>
    </w:p>
    <w:tbl>
      <w:tblPr>
        <w:tblStyle w:val="84"/>
        <w:tblpPr w:leftFromText="180" w:rightFromText="180" w:vertAnchor="text" w:horzAnchor="margin" w:tblpY="791"/>
        <w:tblW w:w="5632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65"/>
        <w:gridCol w:w="1965"/>
        <w:gridCol w:w="1965"/>
        <w:gridCol w:w="1965"/>
        <w:gridCol w:w="1965"/>
        <w:gridCol w:w="750"/>
      </w:tblGrid>
      <w:tr w:rsidR="00E653EB" w:rsidTr="00FC58CC">
        <w:trPr>
          <w:trHeight w:val="585"/>
        </w:trPr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:rsidR="00E653EB" w:rsidRDefault="00E653EB" w:rsidP="00FC58CC">
            <w:pPr>
              <w:widowControl w:val="0"/>
              <w:spacing w:line="360" w:lineRule="auto"/>
              <w:jc w:val="both"/>
              <w:rPr>
                <w:spacing w:val="3"/>
                <w:shd w:val="clear" w:color="auto" w:fill="FFFFFF"/>
              </w:rPr>
            </w:pPr>
            <w:bookmarkStart w:id="0" w:name="_Hlk107682371"/>
            <w:bookmarkStart w:id="1" w:name="_Hlk116828511"/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E653EB" w:rsidRDefault="00E653EB" w:rsidP="00FC58CC">
            <w:pPr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Training group</w:t>
            </w:r>
          </w:p>
          <w:p w:rsidR="00E653EB" w:rsidRDefault="00E653EB" w:rsidP="00FC58CC">
            <w:pPr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(n = 227)</w:t>
            </w: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E653EB" w:rsidRDefault="00E653EB" w:rsidP="00FC58CC">
            <w:pPr>
              <w:widowControl w:val="0"/>
              <w:spacing w:line="360" w:lineRule="auto"/>
              <w:jc w:val="both"/>
              <w:rPr>
                <w:b/>
                <w:spacing w:val="3"/>
                <w:shd w:val="clear" w:color="auto" w:fill="FFFFFF"/>
              </w:rPr>
            </w:pPr>
            <w:r>
              <w:rPr>
                <w:b/>
                <w:spacing w:val="3"/>
                <w:shd w:val="clear" w:color="auto" w:fill="FFFFFF"/>
              </w:rPr>
              <w:t>Internal</w:t>
            </w:r>
          </w:p>
          <w:p w:rsidR="00E653EB" w:rsidRDefault="00E653EB" w:rsidP="00FC58CC">
            <w:pPr>
              <w:widowControl w:val="0"/>
              <w:spacing w:line="360" w:lineRule="auto"/>
              <w:jc w:val="both"/>
              <w:rPr>
                <w:b/>
                <w:spacing w:val="3"/>
                <w:shd w:val="clear" w:color="auto" w:fill="FFFFFF"/>
              </w:rPr>
            </w:pPr>
            <w:r>
              <w:rPr>
                <w:b/>
                <w:spacing w:val="3"/>
                <w:shd w:val="clear" w:color="auto" w:fill="FFFFFF"/>
              </w:rPr>
              <w:t>validation group</w:t>
            </w:r>
          </w:p>
          <w:p w:rsidR="00E653EB" w:rsidRDefault="00E653EB" w:rsidP="00FC58CC">
            <w:pPr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b/>
                <w:spacing w:val="3"/>
                <w:shd w:val="clear" w:color="auto" w:fill="FFFFFF"/>
              </w:rPr>
              <w:t>(</w:t>
            </w:r>
            <w:r>
              <w:rPr>
                <w:b/>
                <w:i/>
                <w:spacing w:val="3"/>
                <w:shd w:val="clear" w:color="auto" w:fill="FFFFFF"/>
              </w:rPr>
              <w:t>n = </w:t>
            </w:r>
            <w:r>
              <w:rPr>
                <w:b/>
                <w:spacing w:val="3"/>
                <w:shd w:val="clear" w:color="auto" w:fill="FFFFFF"/>
              </w:rPr>
              <w:t>212)</w:t>
            </w: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E653EB" w:rsidRDefault="00E653EB" w:rsidP="00FC58CC">
            <w:pPr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External</w:t>
            </w:r>
          </w:p>
          <w:p w:rsidR="00E653EB" w:rsidRDefault="00E653EB" w:rsidP="00FC58CC">
            <w:pPr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validation group</w:t>
            </w:r>
          </w:p>
          <w:p w:rsidR="00E653EB" w:rsidRDefault="00E653EB" w:rsidP="00FC58CC">
            <w:pPr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(n = 84)</w:t>
            </w:r>
          </w:p>
        </w:tc>
        <w:tc>
          <w:tcPr>
            <w:tcW w:w="985" w:type="pct"/>
            <w:tcBorders>
              <w:top w:val="single" w:sz="4" w:space="0" w:color="auto"/>
              <w:bottom w:val="single" w:sz="4" w:space="0" w:color="auto"/>
            </w:tcBorders>
          </w:tcPr>
          <w:p w:rsidR="00E653EB" w:rsidRDefault="00E653EB" w:rsidP="00FC58CC">
            <w:pPr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Prospective validation group</w:t>
            </w:r>
          </w:p>
          <w:p w:rsidR="00E653EB" w:rsidRDefault="00E653EB" w:rsidP="00FC58CC">
            <w:pPr>
              <w:widowControl w:val="0"/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</w:rPr>
              <w:t>(n = 96)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E653EB" w:rsidRDefault="00E653EB" w:rsidP="00FC58CC">
            <w:pPr>
              <w:widowControl w:val="0"/>
              <w:spacing w:line="360" w:lineRule="auto"/>
              <w:jc w:val="both"/>
              <w:rPr>
                <w:b/>
                <w:spacing w:val="3"/>
                <w:shd w:val="clear" w:color="auto" w:fill="FFFFFF"/>
              </w:rPr>
            </w:pPr>
            <w:r>
              <w:rPr>
                <w:b/>
                <w:i/>
              </w:rPr>
              <w:t>p-</w:t>
            </w:r>
            <w:r>
              <w:rPr>
                <w:b/>
                <w:spacing w:val="3"/>
                <w:shd w:val="clear" w:color="auto" w:fill="FFFFFF"/>
              </w:rPr>
              <w:t>value</w:t>
            </w:r>
          </w:p>
        </w:tc>
      </w:tr>
      <w:tr w:rsidR="00E653EB" w:rsidTr="00FC58CC">
        <w:trPr>
          <w:trHeight w:val="169"/>
        </w:trPr>
        <w:tc>
          <w:tcPr>
            <w:tcW w:w="684" w:type="pct"/>
            <w:tcBorders>
              <w:top w:val="single" w:sz="4" w:space="0" w:color="auto"/>
            </w:tcBorders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bookmarkStart w:id="2" w:name="_Hlk116296089"/>
            <w:r>
              <w:t>Age (yr)</w:t>
            </w: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40.68 ± 10.43</w:t>
            </w: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40.38 ± 9.66</w:t>
            </w: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39.25 ± 10.46</w:t>
            </w: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39.35 ± 10.51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0.583</w:t>
            </w:r>
          </w:p>
        </w:tc>
      </w:tr>
      <w:tr w:rsidR="00E653EB" w:rsidTr="00FC58CC">
        <w:trPr>
          <w:trHeight w:val="169"/>
        </w:trPr>
        <w:tc>
          <w:tcPr>
            <w:tcW w:w="684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 xml:space="preserve">Male, </w:t>
            </w:r>
            <w:r>
              <w:rPr>
                <w:i/>
              </w:rPr>
              <w:t xml:space="preserve">n </w:t>
            </w:r>
            <w:r>
              <w:t>(%)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154 (67.8)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143 (67.5)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48 (57.1)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54 (56.3)</w:t>
            </w:r>
          </w:p>
        </w:tc>
        <w:tc>
          <w:tcPr>
            <w:tcW w:w="376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0.080</w:t>
            </w:r>
          </w:p>
        </w:tc>
      </w:tr>
      <w:tr w:rsidR="00E653EB" w:rsidTr="00FC58CC">
        <w:trPr>
          <w:trHeight w:val="169"/>
        </w:trPr>
        <w:tc>
          <w:tcPr>
            <w:tcW w:w="684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BMI (kg/m</w:t>
            </w:r>
            <w:r>
              <w:rPr>
                <w:vertAlign w:val="superscript"/>
              </w:rPr>
              <w:t>2</w:t>
            </w:r>
            <w:r>
              <w:t xml:space="preserve">) 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22.85 ± 2.37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22.72 ± 2.06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22.23 ± 3.00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22.94 ± 3.21</w:t>
            </w:r>
          </w:p>
        </w:tc>
        <w:tc>
          <w:tcPr>
            <w:tcW w:w="376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0.206</w:t>
            </w:r>
          </w:p>
        </w:tc>
      </w:tr>
      <w:tr w:rsidR="00E653EB" w:rsidTr="00FC58CC">
        <w:trPr>
          <w:trHeight w:val="169"/>
        </w:trPr>
        <w:tc>
          <w:tcPr>
            <w:tcW w:w="684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 xml:space="preserve">TBIL (μmoL/L) 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13.94 ± 6.49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15.43± 7.20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14.27 ± 5.82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14.10 ± 4.38</w:t>
            </w:r>
          </w:p>
        </w:tc>
        <w:tc>
          <w:tcPr>
            <w:tcW w:w="376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0.083</w:t>
            </w:r>
          </w:p>
        </w:tc>
      </w:tr>
      <w:tr w:rsidR="00E653EB" w:rsidTr="00FC58CC">
        <w:trPr>
          <w:trHeight w:val="169"/>
        </w:trPr>
        <w:tc>
          <w:tcPr>
            <w:tcW w:w="684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ALB (g/L)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43.42 ± 4.46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44.16 ± 3.06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44.29 ± 5.69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43.17 ± 2.20</w:t>
            </w:r>
          </w:p>
        </w:tc>
        <w:tc>
          <w:tcPr>
            <w:tcW w:w="376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0.062</w:t>
            </w:r>
          </w:p>
        </w:tc>
      </w:tr>
      <w:tr w:rsidR="00E653EB" w:rsidTr="00FC58CC">
        <w:trPr>
          <w:trHeight w:val="169"/>
        </w:trPr>
        <w:tc>
          <w:tcPr>
            <w:tcW w:w="684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GLOB (g/L)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28.57 ± 4.41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29.61 ± 4.44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29.28 ± 5.03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28.64 ± 3.83</w:t>
            </w:r>
          </w:p>
        </w:tc>
        <w:tc>
          <w:tcPr>
            <w:tcW w:w="376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0.072</w:t>
            </w:r>
          </w:p>
        </w:tc>
      </w:tr>
      <w:tr w:rsidR="00E653EB" w:rsidTr="00FC58CC">
        <w:trPr>
          <w:trHeight w:val="169"/>
        </w:trPr>
        <w:tc>
          <w:tcPr>
            <w:tcW w:w="684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 xml:space="preserve">ALT (IU/L) 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27.53 ± 8.33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25.56 ± 7.66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26.10 ± 5.50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26.53 ± 6.84</w:t>
            </w:r>
          </w:p>
        </w:tc>
        <w:tc>
          <w:tcPr>
            <w:tcW w:w="376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0.053</w:t>
            </w:r>
          </w:p>
        </w:tc>
      </w:tr>
      <w:tr w:rsidR="00E653EB" w:rsidTr="00FC58CC">
        <w:trPr>
          <w:trHeight w:val="169"/>
        </w:trPr>
        <w:tc>
          <w:tcPr>
            <w:tcW w:w="684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 xml:space="preserve">AST (IU/L) 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24.67 ± 5.78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23.98 ± 5.15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24.01 ± 4.92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24.23 ± 6.86</w:t>
            </w:r>
          </w:p>
        </w:tc>
        <w:tc>
          <w:tcPr>
            <w:tcW w:w="376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0.590</w:t>
            </w:r>
          </w:p>
        </w:tc>
      </w:tr>
      <w:tr w:rsidR="00E653EB" w:rsidTr="00FC58CC">
        <w:trPr>
          <w:trHeight w:val="169"/>
        </w:trPr>
        <w:tc>
          <w:tcPr>
            <w:tcW w:w="684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GGT (IU/L)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29.21 ± 13.17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26.10 ± 21.49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24.38 ± 26.49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23.96 ± 13.43</w:t>
            </w:r>
          </w:p>
        </w:tc>
        <w:tc>
          <w:tcPr>
            <w:tcW w:w="376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0.053</w:t>
            </w:r>
          </w:p>
        </w:tc>
      </w:tr>
      <w:tr w:rsidR="00E653EB" w:rsidTr="00FC58CC">
        <w:trPr>
          <w:trHeight w:val="169"/>
        </w:trPr>
        <w:tc>
          <w:tcPr>
            <w:tcW w:w="684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ALP (IU/L)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75.02 ± 21.63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69.99 ± 34.40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73.24 ± 20.70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69.54 ± 21.33</w:t>
            </w:r>
          </w:p>
        </w:tc>
        <w:tc>
          <w:tcPr>
            <w:tcW w:w="376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0.091</w:t>
            </w:r>
          </w:p>
        </w:tc>
      </w:tr>
      <w:tr w:rsidR="00E653EB" w:rsidTr="00FC58CC">
        <w:trPr>
          <w:trHeight w:val="169"/>
        </w:trPr>
        <w:tc>
          <w:tcPr>
            <w:tcW w:w="684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PLT (10</w:t>
            </w:r>
            <w:r>
              <w:rPr>
                <w:vertAlign w:val="superscript"/>
              </w:rPr>
              <w:t>9</w:t>
            </w:r>
            <w:r>
              <w:t xml:space="preserve">/L) 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199.95 ± 51.09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210.04 ± 49.13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201.04 ± 49.86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211.32 ± 41.45</w:t>
            </w:r>
          </w:p>
        </w:tc>
        <w:tc>
          <w:tcPr>
            <w:tcW w:w="376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0.066</w:t>
            </w:r>
          </w:p>
        </w:tc>
      </w:tr>
      <w:tr w:rsidR="00E653EB" w:rsidTr="00FC58CC">
        <w:trPr>
          <w:trHeight w:val="169"/>
        </w:trPr>
        <w:tc>
          <w:tcPr>
            <w:tcW w:w="684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HBsAg</w:t>
            </w:r>
          </w:p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(log IU/mL)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3.40 ± 1.03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3.10 ± 1.26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3.31 ± 0.99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3.40 ± 1.11</w:t>
            </w:r>
          </w:p>
        </w:tc>
        <w:tc>
          <w:tcPr>
            <w:tcW w:w="376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0.023</w:t>
            </w:r>
          </w:p>
        </w:tc>
      </w:tr>
      <w:tr w:rsidR="00E653EB" w:rsidTr="00FC58CC">
        <w:trPr>
          <w:trHeight w:val="169"/>
        </w:trPr>
        <w:tc>
          <w:tcPr>
            <w:tcW w:w="684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HBeAg positive (%)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105 (46.3)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57 (26.9)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34 (40.5)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43 (44.8)</w:t>
            </w:r>
          </w:p>
        </w:tc>
        <w:tc>
          <w:tcPr>
            <w:tcW w:w="376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0.001</w:t>
            </w:r>
          </w:p>
        </w:tc>
      </w:tr>
      <w:tr w:rsidR="00E653EB" w:rsidTr="00FC58CC">
        <w:trPr>
          <w:trHeight w:val="169"/>
        </w:trPr>
        <w:tc>
          <w:tcPr>
            <w:tcW w:w="684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HBV DNA (logIU/mL)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4.55 ± 2.21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3.93 ± 2.08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4.67 ± 1.98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4.66 ± 1.97</w:t>
            </w:r>
          </w:p>
        </w:tc>
        <w:tc>
          <w:tcPr>
            <w:tcW w:w="376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0.002</w:t>
            </w:r>
          </w:p>
        </w:tc>
      </w:tr>
      <w:tr w:rsidR="00E653EB" w:rsidTr="00FC58CC">
        <w:trPr>
          <w:trHeight w:val="169"/>
        </w:trPr>
        <w:tc>
          <w:tcPr>
            <w:tcW w:w="684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PT (s)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12.34 ± 0.90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12.77 ± 0.90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12.49 ± 0.84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12.53 ± 0.85</w:t>
            </w:r>
          </w:p>
        </w:tc>
        <w:tc>
          <w:tcPr>
            <w:tcW w:w="376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0.051</w:t>
            </w:r>
          </w:p>
        </w:tc>
      </w:tr>
      <w:tr w:rsidR="00E653EB" w:rsidTr="00FC58CC">
        <w:trPr>
          <w:trHeight w:val="169"/>
        </w:trPr>
        <w:tc>
          <w:tcPr>
            <w:tcW w:w="684" w:type="pct"/>
            <w:vAlign w:val="bottom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LSM (kPa)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7.54 ± 3.59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7.57 ± 3.79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6.75 ± 3.46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7.17 ± 3.63</w:t>
            </w:r>
          </w:p>
        </w:tc>
        <w:tc>
          <w:tcPr>
            <w:tcW w:w="376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0.275</w:t>
            </w:r>
          </w:p>
        </w:tc>
      </w:tr>
      <w:tr w:rsidR="00E653EB" w:rsidTr="00FC58CC">
        <w:trPr>
          <w:trHeight w:val="169"/>
        </w:trPr>
        <w:tc>
          <w:tcPr>
            <w:tcW w:w="684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Inflammation</w:t>
            </w:r>
            <w:r>
              <w:rPr>
                <w:vertAlign w:val="superscript"/>
              </w:rPr>
              <w:t>1</w:t>
            </w:r>
            <w:r>
              <w:t xml:space="preserve">, </w:t>
            </w:r>
            <w:r>
              <w:rPr>
                <w:i/>
              </w:rPr>
              <w:t xml:space="preserve">n </w:t>
            </w:r>
            <w:r>
              <w:t>(%)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</w:p>
        </w:tc>
        <w:tc>
          <w:tcPr>
            <w:tcW w:w="376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0.068</w:t>
            </w:r>
          </w:p>
        </w:tc>
      </w:tr>
      <w:tr w:rsidR="00E653EB" w:rsidTr="00FC58CC">
        <w:trPr>
          <w:trHeight w:val="169"/>
        </w:trPr>
        <w:tc>
          <w:tcPr>
            <w:tcW w:w="684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A0–1/A2</w:t>
            </w:r>
          </w:p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 xml:space="preserve">/A3 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119 (52.4)/95 (41.9) /13 (5.7)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108 (50.9)/94 (44.3) /10 (4.7)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47 (56.0)/32 (38.1) /5 (6.0)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54 (56.3)/35 (36.5) /7 (7.3)</w:t>
            </w:r>
          </w:p>
        </w:tc>
        <w:tc>
          <w:tcPr>
            <w:tcW w:w="376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</w:p>
        </w:tc>
      </w:tr>
      <w:tr w:rsidR="00E653EB" w:rsidTr="00FC58CC">
        <w:trPr>
          <w:trHeight w:val="169"/>
        </w:trPr>
        <w:tc>
          <w:tcPr>
            <w:tcW w:w="684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lastRenderedPageBreak/>
              <w:t>A</w:t>
            </w:r>
            <w:r>
              <w:rPr>
                <w:rFonts w:hint="eastAsia"/>
              </w:rPr>
              <w:t> ≥ </w:t>
            </w:r>
            <w:r>
              <w:t>2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108 (47.6)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104 (49.1)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34 (40.5)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42 (43.8)</w:t>
            </w:r>
          </w:p>
        </w:tc>
        <w:tc>
          <w:tcPr>
            <w:tcW w:w="376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0.536</w:t>
            </w:r>
          </w:p>
        </w:tc>
      </w:tr>
      <w:tr w:rsidR="00E653EB" w:rsidTr="00FC58CC">
        <w:trPr>
          <w:trHeight w:val="169"/>
        </w:trPr>
        <w:tc>
          <w:tcPr>
            <w:tcW w:w="684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Fibrosis stage</w:t>
            </w:r>
            <w:r>
              <w:rPr>
                <w:vertAlign w:val="superscript"/>
              </w:rPr>
              <w:t>1</w:t>
            </w:r>
            <w:r>
              <w:t xml:space="preserve">, </w:t>
            </w:r>
            <w:r>
              <w:rPr>
                <w:i/>
              </w:rPr>
              <w:t xml:space="preserve">n </w:t>
            </w:r>
            <w:r>
              <w:t>(%)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</w:p>
        </w:tc>
        <w:tc>
          <w:tcPr>
            <w:tcW w:w="376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0.051</w:t>
            </w:r>
          </w:p>
        </w:tc>
      </w:tr>
      <w:tr w:rsidR="00E653EB" w:rsidTr="00FC58CC">
        <w:trPr>
          <w:trHeight w:val="169"/>
        </w:trPr>
        <w:tc>
          <w:tcPr>
            <w:tcW w:w="684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F0–1 / F2</w:t>
            </w:r>
          </w:p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 xml:space="preserve">/ F3 / F4 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125 (55.1)/55 (24.2) /31 (13.7)/16 (7.0)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122 (57.5)/69 (32.5) /14 (6.6)/7 (3.3)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44 (52.4)/20 (23.8) /7 (8.3)/13 (15.5)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57 (59.4)/26 (27.1) /8 (8.3)/5 (5.2)</w:t>
            </w:r>
          </w:p>
        </w:tc>
        <w:tc>
          <w:tcPr>
            <w:tcW w:w="376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</w:p>
        </w:tc>
      </w:tr>
      <w:tr w:rsidR="00E653EB" w:rsidTr="00FC58CC">
        <w:trPr>
          <w:trHeight w:val="169"/>
        </w:trPr>
        <w:tc>
          <w:tcPr>
            <w:tcW w:w="684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F</w:t>
            </w:r>
            <w:r>
              <w:rPr>
                <w:rFonts w:hint="eastAsia"/>
              </w:rPr>
              <w:t> ≥ </w:t>
            </w:r>
            <w:r>
              <w:t>2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102 (44.9)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90 (42.5)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40 (47.6)</w:t>
            </w:r>
          </w:p>
        </w:tc>
        <w:tc>
          <w:tcPr>
            <w:tcW w:w="985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39 (40.6)</w:t>
            </w:r>
          </w:p>
        </w:tc>
        <w:tc>
          <w:tcPr>
            <w:tcW w:w="376" w:type="pct"/>
            <w:vAlign w:val="center"/>
          </w:tcPr>
          <w:p w:rsidR="00E653EB" w:rsidRDefault="00E653EB" w:rsidP="00FC58CC">
            <w:pPr>
              <w:widowControl w:val="0"/>
              <w:spacing w:line="360" w:lineRule="auto"/>
              <w:jc w:val="both"/>
            </w:pPr>
            <w:r>
              <w:t>0.761</w:t>
            </w:r>
          </w:p>
        </w:tc>
      </w:tr>
    </w:tbl>
    <w:bookmarkEnd w:id="0"/>
    <w:bookmarkEnd w:id="1"/>
    <w:bookmarkEnd w:id="2"/>
    <w:p w:rsidR="00E653EB" w:rsidRDefault="00E653EB" w:rsidP="00E653EB">
      <w:pPr>
        <w:widowControl w:val="0"/>
        <w:spacing w:line="360" w:lineRule="auto"/>
        <w:jc w:val="both"/>
        <w:rPr>
          <w:rFonts w:eastAsia="等线"/>
          <w:kern w:val="2"/>
          <w:lang w:eastAsia="zh-CN"/>
        </w:rPr>
      </w:pPr>
      <w:r>
        <w:rPr>
          <w:rFonts w:eastAsia="宋体"/>
          <w:kern w:val="2"/>
          <w:vertAlign w:val="superscript"/>
          <w:lang w:eastAsia="zh-CN"/>
        </w:rPr>
        <w:t>1</w:t>
      </w:r>
      <w:r>
        <w:rPr>
          <w:rFonts w:eastAsia="宋体"/>
          <w:kern w:val="2"/>
          <w:lang w:eastAsia="zh-CN"/>
        </w:rPr>
        <w:t xml:space="preserve">According to </w:t>
      </w:r>
      <w:r>
        <w:rPr>
          <w:rFonts w:eastAsia="STIX-Regular"/>
          <w:kern w:val="2"/>
          <w:lang w:eastAsia="zh-CN"/>
        </w:rPr>
        <w:t>M</w:t>
      </w:r>
      <w:r>
        <w:rPr>
          <w:rFonts w:eastAsia="等线"/>
          <w:kern w:val="2"/>
          <w:lang w:eastAsia="zh-CN"/>
        </w:rPr>
        <w:t>ETAVIR</w:t>
      </w:r>
      <w:r>
        <w:rPr>
          <w:rFonts w:eastAsia="宋体"/>
          <w:kern w:val="2"/>
          <w:lang w:eastAsia="zh-CN"/>
        </w:rPr>
        <w:t xml:space="preserve"> system, liver inflammation activity </w:t>
      </w:r>
      <w:r>
        <w:rPr>
          <w:rFonts w:eastAsia="等线"/>
          <w:kern w:val="2"/>
          <w:lang w:eastAsia="zh-CN"/>
        </w:rPr>
        <w:t>grade</w:t>
      </w:r>
      <w:r>
        <w:rPr>
          <w:rFonts w:eastAsia="宋体"/>
          <w:kern w:val="2"/>
          <w:lang w:eastAsia="zh-CN"/>
        </w:rPr>
        <w:t xml:space="preserve"> ranged from 0 to 3, and liver fibrosis stage ranged from 0 to 4. </w:t>
      </w:r>
      <w:r>
        <w:rPr>
          <w:rFonts w:eastAsia="等线"/>
          <w:spacing w:val="3"/>
          <w:kern w:val="2"/>
          <w:shd w:val="clear" w:color="auto" w:fill="FFFFFF"/>
          <w:lang w:eastAsia="zh-CN"/>
        </w:rPr>
        <w:t xml:space="preserve">ALT, alanine aminotransferase; AST, aspartate aminotransferase; ALP, alkaline phosphatase; </w:t>
      </w:r>
      <w:r>
        <w:rPr>
          <w:rFonts w:eastAsia="等线"/>
          <w:kern w:val="2"/>
          <w:lang w:eastAsia="zh-CN"/>
        </w:rPr>
        <w:t>ALB, albumin;</w:t>
      </w:r>
      <w:r>
        <w:rPr>
          <w:rFonts w:eastAsia="等线" w:hint="eastAsia"/>
          <w:kern w:val="2"/>
          <w:lang w:eastAsia="zh-CN"/>
        </w:rPr>
        <w:t xml:space="preserve"> </w:t>
      </w:r>
      <w:r>
        <w:rPr>
          <w:rFonts w:eastAsia="等线"/>
          <w:kern w:val="2"/>
          <w:lang w:eastAsia="zh-CN"/>
        </w:rPr>
        <w:t>BMI, body mass index (kg/m</w:t>
      </w:r>
      <w:r>
        <w:rPr>
          <w:rFonts w:eastAsia="等线"/>
          <w:kern w:val="2"/>
          <w:vertAlign w:val="superscript"/>
          <w:lang w:eastAsia="zh-CN"/>
        </w:rPr>
        <w:t>2</w:t>
      </w:r>
      <w:r>
        <w:rPr>
          <w:rFonts w:eastAsia="等线"/>
          <w:kern w:val="2"/>
          <w:lang w:eastAsia="zh-CN"/>
        </w:rPr>
        <w:t xml:space="preserve">); </w:t>
      </w:r>
      <w:r>
        <w:rPr>
          <w:rFonts w:eastAsia="等线"/>
          <w:spacing w:val="3"/>
          <w:kern w:val="2"/>
          <w:shd w:val="clear" w:color="auto" w:fill="FFFFFF"/>
          <w:lang w:eastAsia="zh-CN"/>
        </w:rPr>
        <w:t>GGT, gamma-glutamyl transpeptidase;</w:t>
      </w:r>
      <w:r>
        <w:rPr>
          <w:rFonts w:eastAsia="等线" w:hint="eastAsia"/>
          <w:spacing w:val="3"/>
          <w:kern w:val="2"/>
          <w:shd w:val="clear" w:color="auto" w:fill="FFFFFF"/>
          <w:lang w:eastAsia="zh-CN"/>
        </w:rPr>
        <w:t xml:space="preserve"> </w:t>
      </w:r>
      <w:r>
        <w:rPr>
          <w:rFonts w:eastAsia="等线"/>
          <w:kern w:val="2"/>
          <w:lang w:eastAsia="zh-CN"/>
        </w:rPr>
        <w:t>GLOB, globulin;</w:t>
      </w:r>
      <w:r>
        <w:rPr>
          <w:rFonts w:eastAsia="等线" w:hint="eastAsia"/>
          <w:kern w:val="2"/>
          <w:lang w:eastAsia="zh-CN"/>
        </w:rPr>
        <w:t xml:space="preserve"> </w:t>
      </w:r>
      <w:r>
        <w:rPr>
          <w:rFonts w:eastAsia="等线"/>
          <w:spacing w:val="3"/>
          <w:kern w:val="2"/>
          <w:shd w:val="clear" w:color="auto" w:fill="FFFFFF"/>
          <w:lang w:eastAsia="zh-CN"/>
        </w:rPr>
        <w:t>HBV, hepatitis B virus;</w:t>
      </w:r>
      <w:r>
        <w:rPr>
          <w:kern w:val="2"/>
          <w:lang w:eastAsia="zh-CN"/>
        </w:rPr>
        <w:t xml:space="preserve"> </w:t>
      </w:r>
      <w:r>
        <w:rPr>
          <w:rFonts w:eastAsia="等线"/>
          <w:spacing w:val="3"/>
          <w:kern w:val="2"/>
          <w:shd w:val="clear" w:color="auto" w:fill="FFFFFF"/>
          <w:lang w:eastAsia="zh-CN"/>
        </w:rPr>
        <w:t>HBsAg, hepatitis B surface antigen; HBeAg, hepatitis B envelope antigen;</w:t>
      </w:r>
      <w:r>
        <w:rPr>
          <w:rFonts w:eastAsia="等线" w:hint="eastAsia"/>
          <w:spacing w:val="3"/>
          <w:kern w:val="2"/>
          <w:shd w:val="clear" w:color="auto" w:fill="FFFFFF"/>
          <w:lang w:eastAsia="zh-CN"/>
        </w:rPr>
        <w:t xml:space="preserve"> </w:t>
      </w:r>
      <w:r>
        <w:rPr>
          <w:rFonts w:eastAsia="等线"/>
          <w:kern w:val="2"/>
          <w:lang w:eastAsia="zh-CN"/>
        </w:rPr>
        <w:t>LSM, liver stiffness measurements</w:t>
      </w:r>
      <w:r>
        <w:rPr>
          <w:rFonts w:eastAsia="等线" w:hint="eastAsia"/>
          <w:kern w:val="2"/>
          <w:lang w:eastAsia="zh-CN"/>
        </w:rPr>
        <w:t xml:space="preserve">; </w:t>
      </w:r>
      <w:r>
        <w:rPr>
          <w:rFonts w:eastAsia="等线"/>
          <w:spacing w:val="3"/>
          <w:kern w:val="2"/>
          <w:shd w:val="clear" w:color="auto" w:fill="FFFFFF"/>
          <w:lang w:eastAsia="zh-CN"/>
        </w:rPr>
        <w:t>PLT, platelet count;  PT, prothrombin time</w:t>
      </w:r>
      <w:r>
        <w:rPr>
          <w:rFonts w:eastAsia="等线" w:hint="eastAsia"/>
          <w:spacing w:val="3"/>
          <w:kern w:val="2"/>
          <w:shd w:val="clear" w:color="auto" w:fill="FFFFFF"/>
          <w:lang w:eastAsia="zh-CN"/>
        </w:rPr>
        <w:t xml:space="preserve">; </w:t>
      </w:r>
      <w:r>
        <w:rPr>
          <w:rFonts w:eastAsia="等线"/>
          <w:kern w:val="2"/>
          <w:lang w:eastAsia="zh-CN"/>
        </w:rPr>
        <w:t>TBIL, total bilirubin</w:t>
      </w:r>
      <w:r>
        <w:rPr>
          <w:rFonts w:eastAsia="等线" w:hint="eastAsia"/>
          <w:kern w:val="2"/>
          <w:lang w:eastAsia="zh-CN"/>
        </w:rPr>
        <w:t>.</w:t>
      </w:r>
    </w:p>
    <w:p w:rsidR="00E653EB" w:rsidRDefault="00E653EB" w:rsidP="00E653EB">
      <w:pPr>
        <w:widowControl w:val="0"/>
        <w:spacing w:line="360" w:lineRule="auto"/>
        <w:jc w:val="both"/>
        <w:rPr>
          <w:rFonts w:eastAsia="Book Antiqua"/>
          <w:kern w:val="2"/>
          <w:lang w:eastAsia="zh-CN"/>
        </w:rPr>
      </w:pPr>
    </w:p>
    <w:p w:rsidR="007404B9" w:rsidRDefault="007404B9"/>
    <w:sectPr w:rsidR="007404B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IX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E653EB"/>
    <w:rsid w:val="007404B9"/>
    <w:rsid w:val="00E6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84">
    <w:name w:val="网格型84"/>
    <w:basedOn w:val="TableNormal"/>
    <w:qFormat/>
    <w:rsid w:val="00E653EB"/>
    <w:pPr>
      <w:spacing w:after="0" w:line="240" w:lineRule="auto"/>
    </w:pPr>
    <w:rPr>
      <w:rFonts w:ascii="等线" w:eastAsia="等线" w:hAnsi="等线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2023-01-08T03:02:00Z</dcterms:created>
  <dcterms:modified xsi:type="dcterms:W3CDTF">2023-01-08T03:02:00Z</dcterms:modified>
</cp:coreProperties>
</file>