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C7793" w14:textId="19AE2652" w:rsidR="00876172" w:rsidRPr="006E0401" w:rsidRDefault="006E0401" w:rsidP="00876172">
      <w:pPr>
        <w:spacing w:line="24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 w:rsidRPr="006E040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Supplem</w:t>
      </w:r>
      <w:r w:rsidRPr="006E0401"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en</w:t>
      </w:r>
      <w:r w:rsidRPr="006E040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tary Table. 2</w:t>
      </w:r>
      <w:r w:rsidR="002D1619"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 xml:space="preserve">. </w:t>
      </w:r>
      <w:r w:rsidR="00AC1067" w:rsidRPr="00AC1067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TRIPOD+AI Checklist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7"/>
        <w:gridCol w:w="420"/>
        <w:gridCol w:w="2579"/>
        <w:gridCol w:w="4574"/>
      </w:tblGrid>
      <w:tr w:rsidR="006E0401" w:rsidRPr="00876172" w14:paraId="02B4CE30" w14:textId="77777777" w:rsidTr="000B5E79">
        <w:trPr>
          <w:tblHeader/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88F7B39" w14:textId="77777777" w:rsidR="006E0401" w:rsidRPr="00876172" w:rsidRDefault="006E0401" w:rsidP="000B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Section/Topic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376DEA7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2484ED7" w14:textId="77777777" w:rsidR="006E0401" w:rsidRPr="00876172" w:rsidRDefault="006E0401" w:rsidP="000B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Checklist item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B053AFD" w14:textId="77777777" w:rsidR="006E0401" w:rsidRPr="00876172" w:rsidRDefault="006E0401" w:rsidP="000B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Reported in revised manuscript</w:t>
            </w:r>
          </w:p>
        </w:tc>
      </w:tr>
      <w:tr w:rsidR="006E0401" w:rsidRPr="00876172" w14:paraId="5539B4EB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6BC7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0" w:type="auto"/>
            <w:vAlign w:val="center"/>
            <w:hideMark/>
          </w:tcPr>
          <w:p w14:paraId="3389D1F8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48D74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Identify the study as developing and/or evaluating a prediction model</w:t>
            </w:r>
          </w:p>
        </w:tc>
        <w:tc>
          <w:tcPr>
            <w:tcW w:w="0" w:type="auto"/>
            <w:vAlign w:val="center"/>
            <w:hideMark/>
          </w:tcPr>
          <w:p w14:paraId="0A78BEB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 page</w:t>
            </w:r>
          </w:p>
        </w:tc>
      </w:tr>
      <w:tr w:rsidR="006E0401" w:rsidRPr="00876172" w14:paraId="56D4AE62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E82E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ABSTRACT</w:t>
            </w:r>
          </w:p>
        </w:tc>
        <w:tc>
          <w:tcPr>
            <w:tcW w:w="0" w:type="auto"/>
            <w:vAlign w:val="center"/>
            <w:hideMark/>
          </w:tcPr>
          <w:p w14:paraId="7051729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A7244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See TRIPOD+AI for Abstracts checklist</w:t>
            </w:r>
          </w:p>
        </w:tc>
        <w:tc>
          <w:tcPr>
            <w:tcW w:w="0" w:type="auto"/>
            <w:vAlign w:val="center"/>
            <w:hideMark/>
          </w:tcPr>
          <w:p w14:paraId="4A270AC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Abstract</w:t>
            </w:r>
          </w:p>
        </w:tc>
      </w:tr>
      <w:tr w:rsidR="006E0401" w:rsidRPr="00876172" w14:paraId="2FAD0DF3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32D3B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INTRODUCTION – Background</w:t>
            </w:r>
          </w:p>
        </w:tc>
        <w:tc>
          <w:tcPr>
            <w:tcW w:w="0" w:type="auto"/>
            <w:vAlign w:val="center"/>
            <w:hideMark/>
          </w:tcPr>
          <w:p w14:paraId="10F220AE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3a</w:t>
            </w:r>
          </w:p>
        </w:tc>
        <w:tc>
          <w:tcPr>
            <w:tcW w:w="0" w:type="auto"/>
            <w:vAlign w:val="center"/>
            <w:hideMark/>
          </w:tcPr>
          <w:p w14:paraId="33DC61F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Explain the healthcare context and rationale for developing or evaluating the model, including references to existing models</w:t>
            </w:r>
          </w:p>
        </w:tc>
        <w:tc>
          <w:tcPr>
            <w:tcW w:w="0" w:type="auto"/>
            <w:vAlign w:val="center"/>
            <w:hideMark/>
          </w:tcPr>
          <w:p w14:paraId="28A727C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Introduction, paragraphs 1–3</w:t>
            </w:r>
          </w:p>
        </w:tc>
      </w:tr>
      <w:tr w:rsidR="006E0401" w:rsidRPr="00876172" w14:paraId="2DD95BB0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D0044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FFF424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3b</w:t>
            </w:r>
          </w:p>
        </w:tc>
        <w:tc>
          <w:tcPr>
            <w:tcW w:w="0" w:type="auto"/>
            <w:vAlign w:val="center"/>
            <w:hideMark/>
          </w:tcPr>
          <w:p w14:paraId="6645CED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the target population and intended purpose of the model in the care pathway, including intended users</w:t>
            </w:r>
          </w:p>
        </w:tc>
        <w:tc>
          <w:tcPr>
            <w:tcW w:w="0" w:type="auto"/>
            <w:vAlign w:val="center"/>
            <w:hideMark/>
          </w:tcPr>
          <w:p w14:paraId="1F1CC5B4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Introduction, paragraphs 1–3 and final paragraph</w:t>
            </w:r>
          </w:p>
        </w:tc>
      </w:tr>
      <w:tr w:rsidR="006E0401" w:rsidRPr="00876172" w14:paraId="52C9485E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F4BD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2DA6AA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3c</w:t>
            </w:r>
          </w:p>
        </w:tc>
        <w:tc>
          <w:tcPr>
            <w:tcW w:w="0" w:type="auto"/>
            <w:vAlign w:val="center"/>
            <w:hideMark/>
          </w:tcPr>
          <w:p w14:paraId="7A5F91A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known health inequalities between sociodemographic groups</w:t>
            </w:r>
          </w:p>
        </w:tc>
        <w:tc>
          <w:tcPr>
            <w:tcW w:w="0" w:type="auto"/>
            <w:vAlign w:val="center"/>
            <w:hideMark/>
          </w:tcPr>
          <w:p w14:paraId="3F62F7C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Introduction, background discussion of disparities in CRC screening</w:t>
            </w:r>
          </w:p>
        </w:tc>
      </w:tr>
      <w:tr w:rsidR="006E0401" w:rsidRPr="00876172" w14:paraId="0882083F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A104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INTRODUCTION – Objectives</w:t>
            </w:r>
          </w:p>
        </w:tc>
        <w:tc>
          <w:tcPr>
            <w:tcW w:w="0" w:type="auto"/>
            <w:vAlign w:val="center"/>
            <w:hideMark/>
          </w:tcPr>
          <w:p w14:paraId="447F03E7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7C590C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study objectives, including whether the study describes model development, validation, or both</w:t>
            </w:r>
          </w:p>
        </w:tc>
        <w:tc>
          <w:tcPr>
            <w:tcW w:w="0" w:type="auto"/>
            <w:vAlign w:val="center"/>
            <w:hideMark/>
          </w:tcPr>
          <w:p w14:paraId="515016A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Introduction, final paragraph</w:t>
            </w:r>
          </w:p>
        </w:tc>
      </w:tr>
      <w:tr w:rsidR="006E0401" w:rsidRPr="00876172" w14:paraId="3E66D207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30AD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Data</w:t>
            </w:r>
          </w:p>
        </w:tc>
        <w:tc>
          <w:tcPr>
            <w:tcW w:w="0" w:type="auto"/>
            <w:vAlign w:val="center"/>
            <w:hideMark/>
          </w:tcPr>
          <w:p w14:paraId="6144A00B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5a</w:t>
            </w:r>
          </w:p>
        </w:tc>
        <w:tc>
          <w:tcPr>
            <w:tcW w:w="0" w:type="auto"/>
            <w:vAlign w:val="center"/>
            <w:hideMark/>
          </w:tcPr>
          <w:p w14:paraId="20BCA53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data sources for development and evaluation, rationale for using them, and representativeness</w:t>
            </w:r>
          </w:p>
        </w:tc>
        <w:tc>
          <w:tcPr>
            <w:tcW w:w="0" w:type="auto"/>
            <w:vAlign w:val="center"/>
            <w:hideMark/>
          </w:tcPr>
          <w:p w14:paraId="001B9D1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Source; Data Partitioning and Survey Design</w:t>
            </w:r>
          </w:p>
        </w:tc>
      </w:tr>
      <w:tr w:rsidR="006E0401" w:rsidRPr="00876172" w14:paraId="05611D5C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4196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E875E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5b</w:t>
            </w:r>
          </w:p>
        </w:tc>
        <w:tc>
          <w:tcPr>
            <w:tcW w:w="0" w:type="auto"/>
            <w:vAlign w:val="center"/>
            <w:hideMark/>
          </w:tcPr>
          <w:p w14:paraId="09BBCE8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dates of participant data collection and, if applicable, follow-up</w:t>
            </w:r>
          </w:p>
        </w:tc>
        <w:tc>
          <w:tcPr>
            <w:tcW w:w="0" w:type="auto"/>
            <w:vAlign w:val="center"/>
            <w:hideMark/>
          </w:tcPr>
          <w:p w14:paraId="04EFFA4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Source: 2024 BRFSS data; no longitudinal follow-up</w:t>
            </w:r>
          </w:p>
        </w:tc>
      </w:tr>
      <w:tr w:rsidR="006E0401" w:rsidRPr="00876172" w14:paraId="298FFB6A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0024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Participants</w:t>
            </w:r>
          </w:p>
        </w:tc>
        <w:tc>
          <w:tcPr>
            <w:tcW w:w="0" w:type="auto"/>
            <w:vAlign w:val="center"/>
            <w:hideMark/>
          </w:tcPr>
          <w:p w14:paraId="7055206E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6a</w:t>
            </w:r>
          </w:p>
        </w:tc>
        <w:tc>
          <w:tcPr>
            <w:tcW w:w="0" w:type="auto"/>
            <w:vAlign w:val="center"/>
            <w:hideMark/>
          </w:tcPr>
          <w:p w14:paraId="0CCA21D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key elements of the study setting, including number and location of centers</w:t>
            </w:r>
          </w:p>
        </w:tc>
        <w:tc>
          <w:tcPr>
            <w:tcW w:w="0" w:type="auto"/>
            <w:vAlign w:val="center"/>
            <w:hideMark/>
          </w:tcPr>
          <w:p w14:paraId="4181BF2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Source: U.S. general-population BRFSS survey</w:t>
            </w:r>
          </w:p>
        </w:tc>
      </w:tr>
      <w:tr w:rsidR="006E0401" w:rsidRPr="00876172" w14:paraId="57F1894F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CD1B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F6733B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6b</w:t>
            </w:r>
          </w:p>
        </w:tc>
        <w:tc>
          <w:tcPr>
            <w:tcW w:w="0" w:type="auto"/>
            <w:vAlign w:val="center"/>
            <w:hideMark/>
          </w:tcPr>
          <w:p w14:paraId="74AF942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eligibility criteria</w:t>
            </w:r>
          </w:p>
        </w:tc>
        <w:tc>
          <w:tcPr>
            <w:tcW w:w="0" w:type="auto"/>
            <w:vAlign w:val="center"/>
            <w:hideMark/>
          </w:tcPr>
          <w:p w14:paraId="0ED336F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Study Population</w:t>
            </w:r>
          </w:p>
        </w:tc>
      </w:tr>
      <w:tr w:rsidR="006E0401" w:rsidRPr="00876172" w14:paraId="0F06725C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D902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FF72E5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6c</w:t>
            </w:r>
          </w:p>
        </w:tc>
        <w:tc>
          <w:tcPr>
            <w:tcW w:w="0" w:type="auto"/>
            <w:vAlign w:val="center"/>
            <w:hideMark/>
          </w:tcPr>
          <w:p w14:paraId="00E78F6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treatments received and how they were handled, if relevant</w:t>
            </w:r>
          </w:p>
        </w:tc>
        <w:tc>
          <w:tcPr>
            <w:tcW w:w="0" w:type="auto"/>
            <w:vAlign w:val="center"/>
            <w:hideMark/>
          </w:tcPr>
          <w:p w14:paraId="4E758F4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Not applicable; the study did not evaluate a treatment or intervention</w:t>
            </w:r>
          </w:p>
        </w:tc>
      </w:tr>
      <w:tr w:rsidR="006E0401" w:rsidRPr="00876172" w14:paraId="2875ED4A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DF104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Data preparation</w:t>
            </w:r>
          </w:p>
        </w:tc>
        <w:tc>
          <w:tcPr>
            <w:tcW w:w="0" w:type="auto"/>
            <w:vAlign w:val="center"/>
            <w:hideMark/>
          </w:tcPr>
          <w:p w14:paraId="7FF3E5C4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AC27CB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data preprocessing and quality checking, including whether similar across sociodemographic groups</w:t>
            </w:r>
          </w:p>
        </w:tc>
        <w:tc>
          <w:tcPr>
            <w:tcW w:w="0" w:type="auto"/>
            <w:vAlign w:val="center"/>
            <w:hideMark/>
          </w:tcPr>
          <w:p w14:paraId="2236B97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Preprocessing and Missing Data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The same preprocessing procedures were applied across participants; no subgroup-specific preprocessing was performed</w:t>
            </w:r>
          </w:p>
        </w:tc>
      </w:tr>
      <w:tr w:rsidR="006E0401" w:rsidRPr="00876172" w14:paraId="455B7729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CE84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Outcome</w:t>
            </w:r>
          </w:p>
        </w:tc>
        <w:tc>
          <w:tcPr>
            <w:tcW w:w="0" w:type="auto"/>
            <w:vAlign w:val="center"/>
            <w:hideMark/>
          </w:tcPr>
          <w:p w14:paraId="2308C98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8a</w:t>
            </w:r>
          </w:p>
        </w:tc>
        <w:tc>
          <w:tcPr>
            <w:tcW w:w="0" w:type="auto"/>
            <w:vAlign w:val="center"/>
            <w:hideMark/>
          </w:tcPr>
          <w:p w14:paraId="232948E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Clearly define the outcome, time horizon, assessment method, rationale, and consistency across sociodemographic groups</w:t>
            </w:r>
          </w:p>
        </w:tc>
        <w:tc>
          <w:tcPr>
            <w:tcW w:w="0" w:type="auto"/>
            <w:vAlign w:val="center"/>
            <w:hideMark/>
          </w:tcPr>
          <w:p w14:paraId="01DE39C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Outcome Definition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The outcome was current CRC screening status; no future prediction horizon was used</w:t>
            </w:r>
          </w:p>
        </w:tc>
      </w:tr>
      <w:tr w:rsidR="006E0401" w:rsidRPr="00876172" w14:paraId="6F5ADE39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7410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859D6E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8b</w:t>
            </w:r>
          </w:p>
        </w:tc>
        <w:tc>
          <w:tcPr>
            <w:tcW w:w="0" w:type="auto"/>
            <w:vAlign w:val="center"/>
            <w:hideMark/>
          </w:tcPr>
          <w:p w14:paraId="08F5452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If outcome assessment required subjective interpretation, describe outcome assessors</w:t>
            </w:r>
          </w:p>
        </w:tc>
        <w:tc>
          <w:tcPr>
            <w:tcW w:w="0" w:type="auto"/>
            <w:vAlign w:val="center"/>
            <w:hideMark/>
          </w:tcPr>
          <w:p w14:paraId="446B9C6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Not applicable; outcome was based on the CDC-derived </w:t>
            </w:r>
            <w:r w:rsidRPr="00876172">
              <w:rPr>
                <w:rFonts w:ascii="Courier New" w:eastAsia="Times New Roman" w:hAnsi="Courier New" w:cs="Courier New"/>
                <w:b/>
                <w:bCs/>
                <w:kern w:val="0"/>
                <w:sz w:val="18"/>
                <w:szCs w:val="18"/>
                <w14:ligatures w14:val="none"/>
              </w:rPr>
              <w:t>_CRCREC3</w:t>
            </w: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variable</w:t>
            </w:r>
          </w:p>
        </w:tc>
      </w:tr>
      <w:tr w:rsidR="006E0401" w:rsidRPr="00876172" w14:paraId="4979D3ED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C184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0B7704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8c</w:t>
            </w:r>
          </w:p>
        </w:tc>
        <w:tc>
          <w:tcPr>
            <w:tcW w:w="0" w:type="auto"/>
            <w:vAlign w:val="center"/>
            <w:hideMark/>
          </w:tcPr>
          <w:p w14:paraId="1DE1A28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Report actions to blind outcome assessment</w:t>
            </w:r>
          </w:p>
        </w:tc>
        <w:tc>
          <w:tcPr>
            <w:tcW w:w="0" w:type="auto"/>
            <w:vAlign w:val="center"/>
            <w:hideMark/>
          </w:tcPr>
          <w:p w14:paraId="7424F93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Not applicable; outcome was derived from existing BRFSS data rather than assessed by study investigators</w:t>
            </w:r>
          </w:p>
        </w:tc>
      </w:tr>
      <w:tr w:rsidR="006E0401" w:rsidRPr="00876172" w14:paraId="121F91A2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40B3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Predictors</w:t>
            </w:r>
          </w:p>
        </w:tc>
        <w:tc>
          <w:tcPr>
            <w:tcW w:w="0" w:type="auto"/>
            <w:vAlign w:val="center"/>
            <w:hideMark/>
          </w:tcPr>
          <w:p w14:paraId="38EFB1F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9a</w:t>
            </w:r>
          </w:p>
        </w:tc>
        <w:tc>
          <w:tcPr>
            <w:tcW w:w="0" w:type="auto"/>
            <w:vAlign w:val="center"/>
            <w:hideMark/>
          </w:tcPr>
          <w:p w14:paraId="5E8C5C2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choice of initial predictors and any preselection</w:t>
            </w:r>
          </w:p>
        </w:tc>
        <w:tc>
          <w:tcPr>
            <w:tcW w:w="0" w:type="auto"/>
            <w:vAlign w:val="center"/>
            <w:hideMark/>
          </w:tcPr>
          <w:p w14:paraId="49B7255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Predictor Selection</w:t>
            </w:r>
          </w:p>
        </w:tc>
      </w:tr>
      <w:tr w:rsidR="006E0401" w:rsidRPr="00876172" w14:paraId="6C3255CC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2BB5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7990A9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9b</w:t>
            </w:r>
          </w:p>
        </w:tc>
        <w:tc>
          <w:tcPr>
            <w:tcW w:w="0" w:type="auto"/>
            <w:vAlign w:val="center"/>
            <w:hideMark/>
          </w:tcPr>
          <w:p w14:paraId="65AF62A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Define all predictors and how they were measured</w:t>
            </w:r>
          </w:p>
        </w:tc>
        <w:tc>
          <w:tcPr>
            <w:tcW w:w="0" w:type="auto"/>
            <w:vAlign w:val="center"/>
            <w:hideMark/>
          </w:tcPr>
          <w:p w14:paraId="1467C662" w14:textId="0413BCF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Predictor Selection; Supplementary Table</w:t>
            </w:r>
            <w:r w:rsidR="0063272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 xml:space="preserve">. </w:t>
            </w: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6E0401" w:rsidRPr="00876172" w14:paraId="7F8A7BD3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255C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7208C3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9c</w:t>
            </w:r>
          </w:p>
        </w:tc>
        <w:tc>
          <w:tcPr>
            <w:tcW w:w="0" w:type="auto"/>
            <w:vAlign w:val="center"/>
            <w:hideMark/>
          </w:tcPr>
          <w:p w14:paraId="55C70DA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If predictor measurement required subjective interpretation, describe predictor assessors</w:t>
            </w:r>
          </w:p>
        </w:tc>
        <w:tc>
          <w:tcPr>
            <w:tcW w:w="0" w:type="auto"/>
            <w:vAlign w:val="center"/>
            <w:hideMark/>
          </w:tcPr>
          <w:p w14:paraId="5062F62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Not applicable; predictors were obtained from existing BRFSS variables</w:t>
            </w:r>
          </w:p>
        </w:tc>
      </w:tr>
      <w:tr w:rsidR="006E0401" w:rsidRPr="00876172" w14:paraId="1FAF0F52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D544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METHODS – Sample size</w:t>
            </w:r>
          </w:p>
        </w:tc>
        <w:tc>
          <w:tcPr>
            <w:tcW w:w="0" w:type="auto"/>
            <w:vAlign w:val="center"/>
            <w:hideMark/>
          </w:tcPr>
          <w:p w14:paraId="4057D12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400CF5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Explain how study size was determined and justify its adequacy</w:t>
            </w:r>
          </w:p>
        </w:tc>
        <w:tc>
          <w:tcPr>
            <w:tcW w:w="0" w:type="auto"/>
            <w:vAlign w:val="center"/>
            <w:hideMark/>
          </w:tcPr>
          <w:p w14:paraId="2E201414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Study Population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All respondents meeting the age and outcome-availability criteria were included; no a priori sample-size calculation was performed</w:t>
            </w:r>
          </w:p>
        </w:tc>
      </w:tr>
      <w:tr w:rsidR="006E0401" w:rsidRPr="00876172" w14:paraId="65B3A437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B7E4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Missing data</w:t>
            </w:r>
          </w:p>
        </w:tc>
        <w:tc>
          <w:tcPr>
            <w:tcW w:w="0" w:type="auto"/>
            <w:vAlign w:val="center"/>
            <w:hideMark/>
          </w:tcPr>
          <w:p w14:paraId="7A583A30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5BD3FD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handling of missing data and reasons for omitting data</w:t>
            </w:r>
          </w:p>
        </w:tc>
        <w:tc>
          <w:tcPr>
            <w:tcW w:w="0" w:type="auto"/>
            <w:vAlign w:val="center"/>
            <w:hideMark/>
          </w:tcPr>
          <w:p w14:paraId="684622D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Missing Data and Study Population</w:t>
            </w:r>
          </w:p>
        </w:tc>
      </w:tr>
      <w:tr w:rsidR="006E0401" w:rsidRPr="00876172" w14:paraId="7C36E2ED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FB37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Analytical methods</w:t>
            </w:r>
          </w:p>
        </w:tc>
        <w:tc>
          <w:tcPr>
            <w:tcW w:w="0" w:type="auto"/>
            <w:vAlign w:val="center"/>
            <w:hideMark/>
          </w:tcPr>
          <w:p w14:paraId="6A849BC4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12a</w:t>
            </w:r>
          </w:p>
        </w:tc>
        <w:tc>
          <w:tcPr>
            <w:tcW w:w="0" w:type="auto"/>
            <w:vAlign w:val="center"/>
            <w:hideMark/>
          </w:tcPr>
          <w:p w14:paraId="7C58AF9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how data were used for model development and evaluation, including partitioning</w:t>
            </w:r>
          </w:p>
        </w:tc>
        <w:tc>
          <w:tcPr>
            <w:tcW w:w="0" w:type="auto"/>
            <w:vAlign w:val="center"/>
            <w:hideMark/>
          </w:tcPr>
          <w:p w14:paraId="71559B6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Partitioning and Survey Design</w:t>
            </w:r>
          </w:p>
        </w:tc>
      </w:tr>
      <w:tr w:rsidR="006E0401" w:rsidRPr="00876172" w14:paraId="12BD1018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CA6B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83B33C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12b</w:t>
            </w:r>
          </w:p>
        </w:tc>
        <w:tc>
          <w:tcPr>
            <w:tcW w:w="0" w:type="auto"/>
            <w:vAlign w:val="center"/>
            <w:hideMark/>
          </w:tcPr>
          <w:p w14:paraId="097FE3F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how predictors were handled in the analyses</w:t>
            </w:r>
          </w:p>
        </w:tc>
        <w:tc>
          <w:tcPr>
            <w:tcW w:w="0" w:type="auto"/>
            <w:vAlign w:val="center"/>
            <w:hideMark/>
          </w:tcPr>
          <w:p w14:paraId="0A58FBB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Preprocessing</w:t>
            </w:r>
          </w:p>
        </w:tc>
      </w:tr>
      <w:tr w:rsidR="006E0401" w:rsidRPr="00876172" w14:paraId="3187871A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F2B2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C861F9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12c</w:t>
            </w:r>
          </w:p>
        </w:tc>
        <w:tc>
          <w:tcPr>
            <w:tcW w:w="0" w:type="auto"/>
            <w:vAlign w:val="center"/>
            <w:hideMark/>
          </w:tcPr>
          <w:p w14:paraId="5A63546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model types, rationale, model-building steps, hyperparameter tuning, and internal validation</w:t>
            </w:r>
          </w:p>
        </w:tc>
        <w:tc>
          <w:tcPr>
            <w:tcW w:w="0" w:type="auto"/>
            <w:vAlign w:val="center"/>
            <w:hideMark/>
          </w:tcPr>
          <w:p w14:paraId="2FAA40D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Model Development; Hyperparameter Tuning; Threshold Selection</w:t>
            </w:r>
          </w:p>
        </w:tc>
      </w:tr>
      <w:tr w:rsidR="006E0401" w:rsidRPr="00876172" w14:paraId="5F89E204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6ACF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3736C3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12d</w:t>
            </w:r>
          </w:p>
        </w:tc>
        <w:tc>
          <w:tcPr>
            <w:tcW w:w="0" w:type="auto"/>
            <w:vAlign w:val="center"/>
            <w:hideMark/>
          </w:tcPr>
          <w:p w14:paraId="483C89F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handling of heterogeneity across clusters, if relevant</w:t>
            </w:r>
          </w:p>
        </w:tc>
        <w:tc>
          <w:tcPr>
            <w:tcW w:w="0" w:type="auto"/>
            <w:vAlign w:val="center"/>
            <w:hideMark/>
          </w:tcPr>
          <w:p w14:paraId="5584B7B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Partitioning and Survey Design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BRFSS clustering and stratification were not incorporated into model fitting; this is acknowledged as a limitation</w:t>
            </w:r>
          </w:p>
        </w:tc>
      </w:tr>
      <w:tr w:rsidR="006E0401" w:rsidRPr="00876172" w14:paraId="1FC82470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0A62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E39CFB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12e</w:t>
            </w:r>
          </w:p>
        </w:tc>
        <w:tc>
          <w:tcPr>
            <w:tcW w:w="0" w:type="auto"/>
            <w:vAlign w:val="center"/>
            <w:hideMark/>
          </w:tcPr>
          <w:p w14:paraId="5D0A2F7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all measures and plots used to evaluate and compare model performance</w:t>
            </w:r>
          </w:p>
        </w:tc>
        <w:tc>
          <w:tcPr>
            <w:tcW w:w="0" w:type="auto"/>
            <w:vAlign w:val="center"/>
            <w:hideMark/>
          </w:tcPr>
          <w:p w14:paraId="6ACB996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Model Evaluation; Threshold Selection</w:t>
            </w:r>
          </w:p>
        </w:tc>
      </w:tr>
      <w:tr w:rsidR="006E0401" w:rsidRPr="00876172" w14:paraId="485EDF81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A9C7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C0D7B8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12f</w:t>
            </w:r>
          </w:p>
        </w:tc>
        <w:tc>
          <w:tcPr>
            <w:tcW w:w="0" w:type="auto"/>
            <w:vAlign w:val="center"/>
            <w:hideMark/>
          </w:tcPr>
          <w:p w14:paraId="262095E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any model updating or recalibration following evaluation</w:t>
            </w:r>
          </w:p>
        </w:tc>
        <w:tc>
          <w:tcPr>
            <w:tcW w:w="0" w:type="auto"/>
            <w:vAlign w:val="center"/>
            <w:hideMark/>
          </w:tcPr>
          <w:p w14:paraId="4B243DA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Class Imbalance/Model Evaluation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No post-SMOTE probability recalibration or other model updating was performed</w:t>
            </w:r>
          </w:p>
        </w:tc>
      </w:tr>
      <w:tr w:rsidR="006E0401" w:rsidRPr="00876172" w14:paraId="06E5F0FE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1208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3A55AD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12g</w:t>
            </w:r>
          </w:p>
        </w:tc>
        <w:tc>
          <w:tcPr>
            <w:tcW w:w="0" w:type="auto"/>
            <w:vAlign w:val="center"/>
            <w:hideMark/>
          </w:tcPr>
          <w:p w14:paraId="70F5BE5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how predictions were calculated during model evaluation</w:t>
            </w:r>
          </w:p>
        </w:tc>
        <w:tc>
          <w:tcPr>
            <w:tcW w:w="0" w:type="auto"/>
            <w:vAlign w:val="center"/>
            <w:hideMark/>
          </w:tcPr>
          <w:p w14:paraId="1E92F5A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Model Development and Model Evaluation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Predicted probabilities from the fitted models were generated for the held-out test set and evaluated using threshold-independent and threshold-dependent measures</w:t>
            </w:r>
          </w:p>
        </w:tc>
      </w:tr>
      <w:tr w:rsidR="006E0401" w:rsidRPr="00876172" w14:paraId="44CF40C2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AE90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Class imbalance</w:t>
            </w:r>
          </w:p>
        </w:tc>
        <w:tc>
          <w:tcPr>
            <w:tcW w:w="0" w:type="auto"/>
            <w:vAlign w:val="center"/>
            <w:hideMark/>
          </w:tcPr>
          <w:p w14:paraId="40AAD0EA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41D884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Explain why and how class-imbalance methods were used and any subsequent recalibration</w:t>
            </w:r>
          </w:p>
        </w:tc>
        <w:tc>
          <w:tcPr>
            <w:tcW w:w="0" w:type="auto"/>
            <w:vAlign w:val="center"/>
            <w:hideMark/>
          </w:tcPr>
          <w:p w14:paraId="2C01315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Class Imbalance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SMOTE was applied only within training folds; the held-out test set retained its observed distribution. No post-SMOTE probability recalibration was performed</w:t>
            </w:r>
          </w:p>
        </w:tc>
      </w:tr>
      <w:tr w:rsidR="006E0401" w:rsidRPr="00876172" w14:paraId="6B262416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41E0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Fairness</w:t>
            </w:r>
          </w:p>
        </w:tc>
        <w:tc>
          <w:tcPr>
            <w:tcW w:w="0" w:type="auto"/>
            <w:vAlign w:val="center"/>
            <w:hideMark/>
          </w:tcPr>
          <w:p w14:paraId="792FE9CC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E29245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approaches used to address model fairness and their rationale</w:t>
            </w:r>
          </w:p>
        </w:tc>
        <w:tc>
          <w:tcPr>
            <w:tcW w:w="0" w:type="auto"/>
            <w:vAlign w:val="center"/>
            <w:hideMark/>
          </w:tcPr>
          <w:p w14:paraId="4B648A9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 formal fairness-adjustment method was used.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Subgroup-specific performance was not evaluated, and this is acknowledged in the Discussion as a limitation</w:t>
            </w:r>
          </w:p>
        </w:tc>
      </w:tr>
      <w:tr w:rsidR="006E0401" w:rsidRPr="00876172" w14:paraId="6E5B5D6F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360A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Model output</w:t>
            </w:r>
          </w:p>
        </w:tc>
        <w:tc>
          <w:tcPr>
            <w:tcW w:w="0" w:type="auto"/>
            <w:vAlign w:val="center"/>
            <w:hideMark/>
          </w:tcPr>
          <w:p w14:paraId="00DF6F24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6B7595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model output and rationale for classification thresholds</w:t>
            </w:r>
          </w:p>
        </w:tc>
        <w:tc>
          <w:tcPr>
            <w:tcW w:w="0" w:type="auto"/>
            <w:vAlign w:val="center"/>
            <w:hideMark/>
          </w:tcPr>
          <w:p w14:paraId="12EB77B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Threshold Selection and Model Evaluation</w:t>
            </w:r>
          </w:p>
        </w:tc>
      </w:tr>
      <w:tr w:rsidR="006E0401" w:rsidRPr="00876172" w14:paraId="448F442F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C604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Training versus evaluation</w:t>
            </w:r>
          </w:p>
        </w:tc>
        <w:tc>
          <w:tcPr>
            <w:tcW w:w="0" w:type="auto"/>
            <w:vAlign w:val="center"/>
            <w:hideMark/>
          </w:tcPr>
          <w:p w14:paraId="55A54F4A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1DFB422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Identify differences between development and evaluation data</w:t>
            </w:r>
          </w:p>
        </w:tc>
        <w:tc>
          <w:tcPr>
            <w:tcW w:w="0" w:type="auto"/>
            <w:vAlign w:val="center"/>
            <w:hideMark/>
          </w:tcPr>
          <w:p w14:paraId="3E0E458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Partitioning and Survey Design; Class Imbalance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Both sets came from the same BRFSS cohort; the test set was held out and retained the observed class distribution without SMOTE</w:t>
            </w:r>
          </w:p>
        </w:tc>
      </w:tr>
      <w:tr w:rsidR="006E0401" w:rsidRPr="00876172" w14:paraId="78B7A0BD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7929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 – Ethical approval</w:t>
            </w:r>
          </w:p>
        </w:tc>
        <w:tc>
          <w:tcPr>
            <w:tcW w:w="0" w:type="auto"/>
            <w:vAlign w:val="center"/>
            <w:hideMark/>
          </w:tcPr>
          <w:p w14:paraId="3A00A58B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5DB9FC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Name ethics board or describe consent/waiver</w:t>
            </w:r>
          </w:p>
        </w:tc>
        <w:tc>
          <w:tcPr>
            <w:tcW w:w="0" w:type="auto"/>
            <w:vAlign w:val="center"/>
            <w:hideMark/>
          </w:tcPr>
          <w:p w14:paraId="158DB724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Ethics Approval and Informed Consent statement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Secondary analysis of publicly available, de-identified BRFSS data; no participant interaction or identifiable private information; additional IRB approval and informed consent were not required</w:t>
            </w:r>
          </w:p>
        </w:tc>
      </w:tr>
      <w:tr w:rsidR="006E0401" w:rsidRPr="00876172" w14:paraId="15167768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E697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OPEN SCIENCE – Funding</w:t>
            </w:r>
          </w:p>
        </w:tc>
        <w:tc>
          <w:tcPr>
            <w:tcW w:w="0" w:type="auto"/>
            <w:vAlign w:val="center"/>
            <w:hideMark/>
          </w:tcPr>
          <w:p w14:paraId="53420A46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18a</w:t>
            </w:r>
          </w:p>
        </w:tc>
        <w:tc>
          <w:tcPr>
            <w:tcW w:w="0" w:type="auto"/>
            <w:vAlign w:val="center"/>
            <w:hideMark/>
          </w:tcPr>
          <w:p w14:paraId="2790F0C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Give funding source and role of funders</w:t>
            </w:r>
          </w:p>
        </w:tc>
        <w:tc>
          <w:tcPr>
            <w:tcW w:w="0" w:type="auto"/>
            <w:vAlign w:val="center"/>
            <w:hideMark/>
          </w:tcPr>
          <w:p w14:paraId="7E72CC5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Declarations, Funding</w:t>
            </w:r>
          </w:p>
        </w:tc>
      </w:tr>
      <w:tr w:rsidR="006E0401" w:rsidRPr="00876172" w14:paraId="635596C1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F9B0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OPEN SCIENCE – Conflicts of interest</w:t>
            </w:r>
          </w:p>
        </w:tc>
        <w:tc>
          <w:tcPr>
            <w:tcW w:w="0" w:type="auto"/>
            <w:vAlign w:val="center"/>
            <w:hideMark/>
          </w:tcPr>
          <w:p w14:paraId="181B8256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18b</w:t>
            </w:r>
          </w:p>
        </w:tc>
        <w:tc>
          <w:tcPr>
            <w:tcW w:w="0" w:type="auto"/>
            <w:vAlign w:val="center"/>
            <w:hideMark/>
          </w:tcPr>
          <w:p w14:paraId="7263DD74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Declare conflicts and financial disclosures</w:t>
            </w:r>
          </w:p>
        </w:tc>
        <w:tc>
          <w:tcPr>
            <w:tcW w:w="0" w:type="auto"/>
            <w:vAlign w:val="center"/>
            <w:hideMark/>
          </w:tcPr>
          <w:p w14:paraId="7C339E8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Declarations, Conflicts of Interest</w:t>
            </w:r>
          </w:p>
        </w:tc>
      </w:tr>
      <w:tr w:rsidR="006E0401" w:rsidRPr="00876172" w14:paraId="3C92C0CC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551B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OPEN SCIENCE – Protocol</w:t>
            </w:r>
          </w:p>
        </w:tc>
        <w:tc>
          <w:tcPr>
            <w:tcW w:w="0" w:type="auto"/>
            <w:vAlign w:val="center"/>
            <w:hideMark/>
          </w:tcPr>
          <w:p w14:paraId="469DA184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18c</w:t>
            </w:r>
          </w:p>
        </w:tc>
        <w:tc>
          <w:tcPr>
            <w:tcW w:w="0" w:type="auto"/>
            <w:vAlign w:val="center"/>
            <w:hideMark/>
          </w:tcPr>
          <w:p w14:paraId="284A275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State where protocol is available or that none was prepared</w:t>
            </w:r>
          </w:p>
        </w:tc>
        <w:tc>
          <w:tcPr>
            <w:tcW w:w="0" w:type="auto"/>
            <w:vAlign w:val="center"/>
            <w:hideMark/>
          </w:tcPr>
          <w:p w14:paraId="3FD3D4A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Declarations/Open Science statement: No prospective study protocol was prepared</w:t>
            </w:r>
          </w:p>
        </w:tc>
      </w:tr>
      <w:tr w:rsidR="006E0401" w:rsidRPr="00876172" w14:paraId="5D005A4A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B24A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OPEN SCIENCE – Registration</w:t>
            </w:r>
          </w:p>
        </w:tc>
        <w:tc>
          <w:tcPr>
            <w:tcW w:w="0" w:type="auto"/>
            <w:vAlign w:val="center"/>
            <w:hideMark/>
          </w:tcPr>
          <w:p w14:paraId="11BB077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18d</w:t>
            </w:r>
          </w:p>
        </w:tc>
        <w:tc>
          <w:tcPr>
            <w:tcW w:w="0" w:type="auto"/>
            <w:vAlign w:val="center"/>
            <w:hideMark/>
          </w:tcPr>
          <w:p w14:paraId="4F1B564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Provide registration information or state study was not registered</w:t>
            </w:r>
          </w:p>
        </w:tc>
        <w:tc>
          <w:tcPr>
            <w:tcW w:w="0" w:type="auto"/>
            <w:vAlign w:val="center"/>
            <w:hideMark/>
          </w:tcPr>
          <w:p w14:paraId="66C98BA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Declarations/Open Science statement: The study was not prospectively registered</w:t>
            </w:r>
          </w:p>
        </w:tc>
      </w:tr>
      <w:tr w:rsidR="006E0401" w:rsidRPr="00876172" w14:paraId="7D467815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4BF0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OPEN SCIENCE – Data sharing</w:t>
            </w:r>
          </w:p>
        </w:tc>
        <w:tc>
          <w:tcPr>
            <w:tcW w:w="0" w:type="auto"/>
            <w:vAlign w:val="center"/>
            <w:hideMark/>
          </w:tcPr>
          <w:p w14:paraId="7271F3FE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18e</w:t>
            </w:r>
          </w:p>
        </w:tc>
        <w:tc>
          <w:tcPr>
            <w:tcW w:w="0" w:type="auto"/>
            <w:vAlign w:val="center"/>
            <w:hideMark/>
          </w:tcPr>
          <w:p w14:paraId="18AA3FC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availability of study data</w:t>
            </w:r>
          </w:p>
        </w:tc>
        <w:tc>
          <w:tcPr>
            <w:tcW w:w="0" w:type="auto"/>
            <w:vAlign w:val="center"/>
            <w:hideMark/>
          </w:tcPr>
          <w:p w14:paraId="565E5DE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Data Availability statement: 2024 BRFSS data are publicly available from the CDC</w:t>
            </w:r>
          </w:p>
        </w:tc>
      </w:tr>
      <w:tr w:rsidR="006E0401" w:rsidRPr="00876172" w14:paraId="0EEF9D13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9AAC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OPEN SCIENCE – Code sharing</w:t>
            </w:r>
          </w:p>
        </w:tc>
        <w:tc>
          <w:tcPr>
            <w:tcW w:w="0" w:type="auto"/>
            <w:vAlign w:val="center"/>
            <w:hideMark/>
          </w:tcPr>
          <w:p w14:paraId="3D9A46FA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18f</w:t>
            </w:r>
          </w:p>
        </w:tc>
        <w:tc>
          <w:tcPr>
            <w:tcW w:w="0" w:type="auto"/>
            <w:vAlign w:val="center"/>
            <w:hideMark/>
          </w:tcPr>
          <w:p w14:paraId="62A1A9C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availability of analytical code</w:t>
            </w:r>
          </w:p>
        </w:tc>
        <w:tc>
          <w:tcPr>
            <w:tcW w:w="0" w:type="auto"/>
            <w:vAlign w:val="center"/>
            <w:hideMark/>
          </w:tcPr>
          <w:p w14:paraId="6EFA2F2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Data/Code Availability statement: analytical code available from the corresponding author upon reasonable request</w:t>
            </w:r>
          </w:p>
        </w:tc>
      </w:tr>
      <w:tr w:rsidR="006E0401" w:rsidRPr="00876172" w14:paraId="7FB74876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9947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PATIENT &amp; PUBLIC INVOLVEMENT</w:t>
            </w:r>
          </w:p>
        </w:tc>
        <w:tc>
          <w:tcPr>
            <w:tcW w:w="0" w:type="auto"/>
            <w:vAlign w:val="center"/>
            <w:hideMark/>
          </w:tcPr>
          <w:p w14:paraId="0271FD77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A157C5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patient/public involvement or state none</w:t>
            </w:r>
          </w:p>
        </w:tc>
        <w:tc>
          <w:tcPr>
            <w:tcW w:w="0" w:type="auto"/>
            <w:vAlign w:val="center"/>
            <w:hideMark/>
          </w:tcPr>
          <w:p w14:paraId="55502C1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 patient or public involvement in study design, conduct, analysis, reporting, or dissemination</w:t>
            </w:r>
          </w:p>
        </w:tc>
      </w:tr>
      <w:tr w:rsidR="006E0401" w:rsidRPr="00876172" w14:paraId="7BE9D3D0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3D13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 – Participants</w:t>
            </w:r>
          </w:p>
        </w:tc>
        <w:tc>
          <w:tcPr>
            <w:tcW w:w="0" w:type="auto"/>
            <w:vAlign w:val="center"/>
            <w:hideMark/>
          </w:tcPr>
          <w:p w14:paraId="515E695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20a</w:t>
            </w:r>
          </w:p>
        </w:tc>
        <w:tc>
          <w:tcPr>
            <w:tcW w:w="0" w:type="auto"/>
            <w:vAlign w:val="center"/>
            <w:hideMark/>
          </w:tcPr>
          <w:p w14:paraId="2DFD5068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participant flow and numbers with and without the outcome</w:t>
            </w:r>
          </w:p>
        </w:tc>
        <w:tc>
          <w:tcPr>
            <w:tcW w:w="0" w:type="auto"/>
            <w:vAlign w:val="center"/>
            <w:hideMark/>
          </w:tcPr>
          <w:p w14:paraId="6A02790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Results, Study Population; Methods, Study Population</w:t>
            </w:r>
          </w:p>
        </w:tc>
      </w:tr>
      <w:tr w:rsidR="006E0401" w:rsidRPr="00876172" w14:paraId="4387F162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FBD5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BF5FF0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20b</w:t>
            </w:r>
          </w:p>
        </w:tc>
        <w:tc>
          <w:tcPr>
            <w:tcW w:w="0" w:type="auto"/>
            <w:vAlign w:val="center"/>
            <w:hideMark/>
          </w:tcPr>
          <w:p w14:paraId="11D04FE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Report participant characteristics, outcome counts, predictors, and missing data</w:t>
            </w:r>
          </w:p>
        </w:tc>
        <w:tc>
          <w:tcPr>
            <w:tcW w:w="0" w:type="auto"/>
            <w:vAlign w:val="center"/>
            <w:hideMark/>
          </w:tcPr>
          <w:p w14:paraId="7F964953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Results, Study Population; Table 1</w:t>
            </w:r>
          </w:p>
        </w:tc>
      </w:tr>
      <w:tr w:rsidR="006E0401" w:rsidRPr="00876172" w14:paraId="2958C2F3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41CB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0F33DC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20c</w:t>
            </w:r>
          </w:p>
        </w:tc>
        <w:tc>
          <w:tcPr>
            <w:tcW w:w="0" w:type="auto"/>
            <w:vAlign w:val="center"/>
            <w:hideMark/>
          </w:tcPr>
          <w:p w14:paraId="0B45576A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Compare distributions of important predictors between development and evaluation data</w:t>
            </w:r>
          </w:p>
        </w:tc>
        <w:tc>
          <w:tcPr>
            <w:tcW w:w="0" w:type="auto"/>
            <w:vAlign w:val="center"/>
            <w:hideMark/>
          </w:tcPr>
          <w:p w14:paraId="7E3744D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Not performed/reported separately.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Training and test sets were generated by stratified random partitioning of the same analytic cohort</w:t>
            </w:r>
          </w:p>
        </w:tc>
      </w:tr>
      <w:tr w:rsidR="006E0401" w:rsidRPr="00876172" w14:paraId="090B5129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ABD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 – Model development</w:t>
            </w:r>
          </w:p>
        </w:tc>
        <w:tc>
          <w:tcPr>
            <w:tcW w:w="0" w:type="auto"/>
            <w:vAlign w:val="center"/>
            <w:hideMark/>
          </w:tcPr>
          <w:p w14:paraId="053BF621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85E0B1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Specify participants and outcome events used for model development, tuning, and evaluation</w:t>
            </w:r>
          </w:p>
        </w:tc>
        <w:tc>
          <w:tcPr>
            <w:tcW w:w="0" w:type="auto"/>
            <w:vAlign w:val="center"/>
            <w:hideMark/>
          </w:tcPr>
          <w:p w14:paraId="7ADCF0B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Methods, Data Partitioning; Results, Study Population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Training n = 182,118; test n = 45,529; overall outcome distribution reported</w:t>
            </w:r>
          </w:p>
        </w:tc>
      </w:tr>
      <w:tr w:rsidR="006E0401" w:rsidRPr="00876172" w14:paraId="2617ECB2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539A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 – Model specification</w:t>
            </w:r>
          </w:p>
        </w:tc>
        <w:tc>
          <w:tcPr>
            <w:tcW w:w="0" w:type="auto"/>
            <w:vAlign w:val="center"/>
            <w:hideMark/>
          </w:tcPr>
          <w:p w14:paraId="1EF2B35C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FD7A08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Provide the full prediction model sufficiently to allow prediction in new individuals and third-party evaluation</w:t>
            </w:r>
          </w:p>
        </w:tc>
        <w:tc>
          <w:tcPr>
            <w:tcW w:w="0" w:type="auto"/>
            <w:vAlign w:val="center"/>
            <w:hideMark/>
          </w:tcPr>
          <w:p w14:paraId="6E35EED2" w14:textId="579550B6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Partially reported.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Predictor definitions are provided in Supplementary Table</w:t>
            </w:r>
            <w:r w:rsidR="0063272E">
              <w:rPr>
                <w:rFonts w:ascii="Times New Roman" w:hAnsi="Times New Roman" w:cs="Times New Roman" w:hint="eastAsia"/>
                <w:kern w:val="0"/>
                <w:sz w:val="18"/>
                <w:szCs w:val="18"/>
                <w:lang w:eastAsia="zh-CN"/>
                <w14:ligatures w14:val="none"/>
              </w:rPr>
              <w:t xml:space="preserve">. 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 and selected RF/</w:t>
            </w:r>
            <w:proofErr w:type="spellStart"/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XGBoost</w:t>
            </w:r>
            <w:proofErr w:type="spellEnd"/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hyperparameters are reported in Methods. Full executable model objects are not provided; analytical code is available from the corresponding author upon reasonable request</w:t>
            </w:r>
          </w:p>
        </w:tc>
      </w:tr>
      <w:tr w:rsidR="006E0401" w:rsidRPr="00876172" w14:paraId="65E68CEB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02C9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 – Model performance</w:t>
            </w:r>
          </w:p>
        </w:tc>
        <w:tc>
          <w:tcPr>
            <w:tcW w:w="0" w:type="auto"/>
            <w:vAlign w:val="center"/>
            <w:hideMark/>
          </w:tcPr>
          <w:p w14:paraId="791CC64C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23a</w:t>
            </w:r>
          </w:p>
        </w:tc>
        <w:tc>
          <w:tcPr>
            <w:tcW w:w="0" w:type="auto"/>
            <w:vAlign w:val="center"/>
            <w:hideMark/>
          </w:tcPr>
          <w:p w14:paraId="5FF0393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Report model-performance estimates with confidence intervals, including relevant subgroups</w:t>
            </w:r>
          </w:p>
        </w:tc>
        <w:tc>
          <w:tcPr>
            <w:tcW w:w="0" w:type="auto"/>
            <w:vAlign w:val="center"/>
            <w:hideMark/>
          </w:tcPr>
          <w:p w14:paraId="1DD094B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Results, Comparative Model Performance and Table 2; Classification Performance and Table 3.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Point estimates are reported. Confidence intervals and subgroup-specific performance were not calculated and are acknowledged as limitations</w:t>
            </w:r>
          </w:p>
        </w:tc>
      </w:tr>
      <w:tr w:rsidR="006E0401" w:rsidRPr="00876172" w14:paraId="68E544D8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8FC0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AA28A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23b</w:t>
            </w:r>
          </w:p>
        </w:tc>
        <w:tc>
          <w:tcPr>
            <w:tcW w:w="0" w:type="auto"/>
            <w:vAlign w:val="center"/>
            <w:hideMark/>
          </w:tcPr>
          <w:p w14:paraId="59E7909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Report heterogeneity in performance across clusters, if examined</w:t>
            </w:r>
          </w:p>
        </w:tc>
        <w:tc>
          <w:tcPr>
            <w:tcW w:w="0" w:type="auto"/>
            <w:vAlign w:val="center"/>
            <w:hideMark/>
          </w:tcPr>
          <w:p w14:paraId="23A415C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Not applicable; cluster-specific performance was not examined</w:t>
            </w:r>
          </w:p>
        </w:tc>
      </w:tr>
      <w:tr w:rsidR="006E0401" w:rsidRPr="00876172" w14:paraId="29145E2D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EF779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RESULTS – Model updating</w:t>
            </w:r>
          </w:p>
        </w:tc>
        <w:tc>
          <w:tcPr>
            <w:tcW w:w="0" w:type="auto"/>
            <w:vAlign w:val="center"/>
            <w:hideMark/>
          </w:tcPr>
          <w:p w14:paraId="0DB8B11B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16F0B9D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Report results from model updating</w:t>
            </w:r>
          </w:p>
        </w:tc>
        <w:tc>
          <w:tcPr>
            <w:tcW w:w="0" w:type="auto"/>
            <w:vAlign w:val="center"/>
            <w:hideMark/>
          </w:tcPr>
          <w:p w14:paraId="1C1D3F5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Not applicable; no model updating or recalibration was performed</w:t>
            </w:r>
          </w:p>
        </w:tc>
      </w:tr>
      <w:tr w:rsidR="006E0401" w:rsidRPr="00876172" w14:paraId="683C3529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DBAB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 – Interpretation</w:t>
            </w:r>
          </w:p>
        </w:tc>
        <w:tc>
          <w:tcPr>
            <w:tcW w:w="0" w:type="auto"/>
            <w:vAlign w:val="center"/>
            <w:hideMark/>
          </w:tcPr>
          <w:p w14:paraId="45A05F1F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46E14A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Interpret main findings, including fairness, in context of objectives and previous studies</w:t>
            </w:r>
          </w:p>
        </w:tc>
        <w:tc>
          <w:tcPr>
            <w:tcW w:w="0" w:type="auto"/>
            <w:vAlign w:val="center"/>
            <w:hideMark/>
          </w:tcPr>
          <w:p w14:paraId="7E1AE12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</w:t>
            </w:r>
          </w:p>
        </w:tc>
      </w:tr>
      <w:tr w:rsidR="006E0401" w:rsidRPr="00876172" w14:paraId="666F4573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05550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 – Limitations</w:t>
            </w:r>
          </w:p>
        </w:tc>
        <w:tc>
          <w:tcPr>
            <w:tcW w:w="0" w:type="auto"/>
            <w:vAlign w:val="center"/>
            <w:hideMark/>
          </w:tcPr>
          <w:p w14:paraId="1B65BBBA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8DF83F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Discuss limitations and implications for bias, uncertainty, and generalizability</w:t>
            </w:r>
          </w:p>
        </w:tc>
        <w:tc>
          <w:tcPr>
            <w:tcW w:w="0" w:type="auto"/>
            <w:vAlign w:val="center"/>
            <w:hideMark/>
          </w:tcPr>
          <w:p w14:paraId="21D794A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Discussion, limitations paragraphs</w:t>
            </w:r>
          </w:p>
        </w:tc>
      </w:tr>
      <w:tr w:rsidR="006E0401" w:rsidRPr="00876172" w14:paraId="3EFF1C64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84B1B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 – Usability</w:t>
            </w:r>
          </w:p>
        </w:tc>
        <w:tc>
          <w:tcPr>
            <w:tcW w:w="0" w:type="auto"/>
            <w:vAlign w:val="center"/>
            <w:hideMark/>
          </w:tcPr>
          <w:p w14:paraId="7FF62E16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27a</w:t>
            </w:r>
          </w:p>
        </w:tc>
        <w:tc>
          <w:tcPr>
            <w:tcW w:w="0" w:type="auto"/>
            <w:vAlign w:val="center"/>
            <w:hideMark/>
          </w:tcPr>
          <w:p w14:paraId="2252F5AF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handling of poor-quality or unavailable predictor data during implementation</w:t>
            </w:r>
          </w:p>
        </w:tc>
        <w:tc>
          <w:tcPr>
            <w:tcW w:w="0" w:type="auto"/>
            <w:vAlign w:val="center"/>
            <w:hideMark/>
          </w:tcPr>
          <w:p w14:paraId="63A7FF6E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Discussion, implementation paragraph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Predictor availability and local data quality would need assessment before implementation</w:t>
            </w:r>
          </w:p>
        </w:tc>
      </w:tr>
      <w:tr w:rsidR="006E0401" w:rsidRPr="00876172" w14:paraId="6C32FB59" w14:textId="77777777" w:rsidTr="000B5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104B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4EB8E5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27b</w:t>
            </w:r>
          </w:p>
        </w:tc>
        <w:tc>
          <w:tcPr>
            <w:tcW w:w="0" w:type="auto"/>
            <w:vAlign w:val="center"/>
            <w:hideMark/>
          </w:tcPr>
          <w:p w14:paraId="0F180FEC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State whether users need to interact with input data/model and required expertise</w:t>
            </w:r>
          </w:p>
        </w:tc>
        <w:tc>
          <w:tcPr>
            <w:tcW w:w="0" w:type="auto"/>
            <w:vAlign w:val="center"/>
            <w:hideMark/>
          </w:tcPr>
          <w:p w14:paraId="29278556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Discussion, implementation paragraph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 No clinical deployment interface was developed; implementation requirements would depend on the local data system and workflow</w:t>
            </w:r>
          </w:p>
        </w:tc>
      </w:tr>
      <w:tr w:rsidR="006E0401" w:rsidRPr="00876172" w14:paraId="28A67DBA" w14:textId="77777777" w:rsidTr="000B5E79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7AE16DA1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3537B3B3" w14:textId="77777777" w:rsidR="006E0401" w:rsidRPr="00876172" w:rsidRDefault="006E0401" w:rsidP="000B5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27c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34F59765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Discuss next steps for applicability and generalizability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4CBDCE77" w14:textId="77777777" w:rsidR="006E0401" w:rsidRPr="00876172" w:rsidRDefault="006E0401" w:rsidP="000B5E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761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Discussion, final paragraphs</w:t>
            </w:r>
            <w:r w:rsidRPr="0087617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: temporal and external validation, local calibration, and prospective implementation evaluation</w:t>
            </w:r>
          </w:p>
        </w:tc>
      </w:tr>
    </w:tbl>
    <w:p w14:paraId="2FA92F7C" w14:textId="77777777" w:rsidR="006E0401" w:rsidRPr="00876172" w:rsidRDefault="006E0401" w:rsidP="006E0401">
      <w:pPr>
        <w:spacing w:line="240" w:lineRule="auto"/>
        <w:rPr>
          <w:sz w:val="18"/>
          <w:szCs w:val="18"/>
          <w:lang w:eastAsia="zh-CN"/>
        </w:rPr>
      </w:pPr>
    </w:p>
    <w:sectPr w:rsidR="006E0401" w:rsidRPr="00876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8D526" w14:textId="77777777" w:rsidR="0064205F" w:rsidRDefault="0064205F" w:rsidP="006E0401">
      <w:pPr>
        <w:spacing w:after="0" w:line="240" w:lineRule="auto"/>
      </w:pPr>
      <w:r>
        <w:separator/>
      </w:r>
    </w:p>
  </w:endnote>
  <w:endnote w:type="continuationSeparator" w:id="0">
    <w:p w14:paraId="6816DCC4" w14:textId="77777777" w:rsidR="0064205F" w:rsidRDefault="0064205F" w:rsidP="006E0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A82D" w14:textId="77777777" w:rsidR="0064205F" w:rsidRDefault="0064205F" w:rsidP="006E0401">
      <w:pPr>
        <w:spacing w:after="0" w:line="240" w:lineRule="auto"/>
      </w:pPr>
      <w:r>
        <w:separator/>
      </w:r>
    </w:p>
  </w:footnote>
  <w:footnote w:type="continuationSeparator" w:id="0">
    <w:p w14:paraId="06E53ADA" w14:textId="77777777" w:rsidR="0064205F" w:rsidRDefault="0064205F" w:rsidP="006E04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2"/>
    <w:rsid w:val="002D1619"/>
    <w:rsid w:val="00510DCE"/>
    <w:rsid w:val="0063272E"/>
    <w:rsid w:val="0064205F"/>
    <w:rsid w:val="006E0401"/>
    <w:rsid w:val="00876172"/>
    <w:rsid w:val="00A96C46"/>
    <w:rsid w:val="00AC1067"/>
    <w:rsid w:val="00B05FD6"/>
    <w:rsid w:val="00CC5ABC"/>
    <w:rsid w:val="00D93DA4"/>
    <w:rsid w:val="00EF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9FA4B"/>
  <w15:chartTrackingRefBased/>
  <w15:docId w15:val="{23AC44D5-FCBD-AF47-A052-80B8350A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6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876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76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8761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876172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761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876172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61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8761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6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61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61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6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61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6172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876172"/>
    <w:rPr>
      <w:b/>
      <w:bCs/>
    </w:rPr>
  </w:style>
  <w:style w:type="character" w:styleId="HTML">
    <w:name w:val="HTML Code"/>
    <w:basedOn w:val="a0"/>
    <w:uiPriority w:val="99"/>
    <w:semiHidden/>
    <w:unhideWhenUsed/>
    <w:rsid w:val="00876172"/>
    <w:rPr>
      <w:rFonts w:ascii="Courier New" w:eastAsia="Times New Roman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6E040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E040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E040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E04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1441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Okeagu, Philips Nnaemeka</dc:creator>
  <cp:keywords/>
  <dc:description/>
  <cp:lastModifiedBy>Editor</cp:lastModifiedBy>
  <cp:revision>5</cp:revision>
  <dcterms:created xsi:type="dcterms:W3CDTF">2026-09-14T19:55:00Z</dcterms:created>
  <dcterms:modified xsi:type="dcterms:W3CDTF">2026-10-21T05:16:00Z</dcterms:modified>
</cp:coreProperties>
</file>