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16" w:rsidRDefault="008B2216" w:rsidP="008B2216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kern w:val="2"/>
          <w:sz w:val="24"/>
        </w:rPr>
      </w:pPr>
    </w:p>
    <w:p w:rsidR="008B2216" w:rsidRDefault="008B2216" w:rsidP="008B2216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kern w:val="2"/>
          <w:sz w:val="24"/>
        </w:rPr>
        <w:t xml:space="preserve">Supplementary Table </w:t>
      </w:r>
      <w:r>
        <w:rPr>
          <w:rFonts w:ascii="Times New Roman" w:hAnsi="Times New Roman" w:hint="eastAsia"/>
          <w:b/>
          <w:kern w:val="2"/>
          <w:sz w:val="24"/>
          <w:lang w:eastAsia="zh-CN"/>
        </w:rPr>
        <w:t>5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.</w:t>
      </w:r>
      <w:r>
        <w:rPr>
          <w:rFonts w:ascii="Times New Roman" w:hAnsi="Times New Roman"/>
          <w:b/>
          <w:kern w:val="2"/>
          <w:sz w:val="24"/>
        </w:rPr>
        <w:t xml:space="preserve"> Relationship between 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c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ircRNA</w:t>
      </w:r>
      <w:r>
        <w:rPr>
          <w:rFonts w:ascii="Times New Roman" w:hAnsi="Times New Roman"/>
          <w:b/>
          <w:kern w:val="2"/>
          <w:sz w:val="24"/>
        </w:rPr>
        <w:t xml:space="preserve"> and patients’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laboratory</w:t>
      </w:r>
      <w:r>
        <w:rPr>
          <w:rFonts w:ascii="Times New Roman" w:hAnsi="Times New Roman"/>
          <w:b/>
          <w:kern w:val="2"/>
          <w:sz w:val="24"/>
        </w:rPr>
        <w:t xml:space="preserve"> features</w:t>
      </w:r>
    </w:p>
    <w:tbl>
      <w:tblPr>
        <w:tblStyle w:val="GridTable22"/>
        <w:tblW w:w="9214" w:type="dxa"/>
        <w:tblLayout w:type="fixed"/>
        <w:tblLook w:val="04A0"/>
      </w:tblPr>
      <w:tblGrid>
        <w:gridCol w:w="2380"/>
        <w:gridCol w:w="2765"/>
        <w:gridCol w:w="900"/>
        <w:gridCol w:w="900"/>
        <w:gridCol w:w="1350"/>
        <w:gridCol w:w="919"/>
      </w:tblGrid>
      <w:tr w:rsidR="008B2216" w:rsidTr="005E3DED">
        <w:trPr>
          <w:cnfStyle w:val="100000000000"/>
        </w:trPr>
        <w:tc>
          <w:tcPr>
            <w:cnfStyle w:val="001000000000"/>
            <w:tcW w:w="5145" w:type="dxa"/>
            <w:gridSpan w:val="2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800" w:type="dxa"/>
            <w:gridSpan w:val="2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ircRNA value 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Independent sample t-test</w:t>
            </w:r>
          </w:p>
        </w:tc>
        <w:tc>
          <w:tcPr>
            <w:tcW w:w="919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8B2216" w:rsidTr="005E3DED">
        <w:tc>
          <w:tcPr>
            <w:cnfStyle w:val="001000000000"/>
            <w:tcW w:w="5145" w:type="dxa"/>
            <w:gridSpan w:val="2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SD</w:t>
            </w:r>
          </w:p>
        </w:tc>
        <w:tc>
          <w:tcPr>
            <w:tcW w:w="1350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Platelets (×10³/µL) categories </w:t>
            </w: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Normal (&gt;=150)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19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0.846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Thrombocytopenia (&lt;150)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AFP (ng/mL) categories</w:t>
            </w: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Normal (0-19)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Mildly elevated (20-100)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Moderately Elevated (101-200)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Severely elevated (201-1000)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Extremely elevated (&gt;1000)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ALBI categories</w:t>
            </w: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Grade I (&lt;=-2.60)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919" w:type="dxa"/>
            <w:vMerge w:val="restart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0.436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Grade 2 (&gt;-2.60-&lt;=-1.39)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Grade 3 (&gt;-1.39)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CRP (mg/L) categories</w:t>
            </w: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Normal (&lt;=6)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5.85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2.207</w:t>
            </w:r>
          </w:p>
        </w:tc>
        <w:tc>
          <w:tcPr>
            <w:tcW w:w="919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0.149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Elevated (&gt;6)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NLR categories</w:t>
            </w: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Normal (1-5)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.78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9.103#</w:t>
            </w:r>
          </w:p>
        </w:tc>
        <w:tc>
          <w:tcPr>
            <w:tcW w:w="919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0.001**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Mild (6-8)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Moderate (9-18)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6.42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Severe (&gt;18)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PLR categories</w:t>
            </w: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Low levels (&lt;106)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.91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8.525#</w:t>
            </w:r>
          </w:p>
        </w:tc>
        <w:tc>
          <w:tcPr>
            <w:tcW w:w="919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0.001**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Normal levels (106-300)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350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High levels (&gt;300)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0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948A54" w:themeFill="background2" w:themeFillShade="8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AST/ALT ratio categories</w:t>
            </w: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Low (&lt;=1)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.66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919" w:type="dxa"/>
            <w:vMerge w:val="restart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0.827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High (&gt;1)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5.57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FIB 4 categories</w:t>
            </w: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Stage 0-1 (&lt;1.45)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.66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2.348#</w:t>
            </w:r>
          </w:p>
        </w:tc>
        <w:tc>
          <w:tcPr>
            <w:tcW w:w="919" w:type="dxa"/>
            <w:vMerge w:val="restart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0.115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Stage 2-3 (1.45-3.25)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Stage 4-6 (stage 4-6)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APRI categories</w:t>
            </w: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 significant fibrosis (&lt;0.07)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1.167#</w:t>
            </w:r>
          </w:p>
        </w:tc>
        <w:tc>
          <w:tcPr>
            <w:tcW w:w="919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0.326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Significant fibrosis (0.7-1)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Severe fibrosis/Cirrhosis (&gt;1)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NFS categories</w:t>
            </w: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F0-F2 (&lt;-1.455)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0" w:type="dxa"/>
            <w:vMerge w:val="restart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1.159#</w:t>
            </w:r>
          </w:p>
        </w:tc>
        <w:tc>
          <w:tcPr>
            <w:tcW w:w="919" w:type="dxa"/>
            <w:vMerge w:val="restart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0.329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Indeter. score (-1.455-0.675)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F3-F4 (&gt;0.675)</w:t>
            </w:r>
          </w:p>
        </w:tc>
        <w:tc>
          <w:tcPr>
            <w:tcW w:w="900" w:type="dxa"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900" w:type="dxa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0" w:type="dxa"/>
            <w:vMerge/>
            <w:shd w:val="clear" w:color="auto" w:fill="CCCCCC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CTP score</w:t>
            </w: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.86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65.338#</w:t>
            </w:r>
          </w:p>
        </w:tc>
        <w:tc>
          <w:tcPr>
            <w:tcW w:w="919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0.000**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Early B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Late B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.73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MELD categories</w:t>
            </w: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Low risk (&lt;10)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5.833</w:t>
            </w:r>
          </w:p>
        </w:tc>
        <w:tc>
          <w:tcPr>
            <w:tcW w:w="919" w:type="dxa"/>
            <w:vMerge w:val="restart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0.023*</w:t>
            </w: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Moderate risk (10-19)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5.86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High risk (20-30)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216" w:rsidTr="005E3DED">
        <w:tc>
          <w:tcPr>
            <w:cnfStyle w:val="001000000000"/>
            <w:tcW w:w="238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Very high (&gt;30)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FFFF00"/>
          </w:tcPr>
          <w:p w:rsidR="008B2216" w:rsidRDefault="008B2216" w:rsidP="005E3DED">
            <w:pPr>
              <w:autoSpaceDE w:val="0"/>
              <w:autoSpaceDN w:val="0"/>
              <w:adjustRightInd w:val="0"/>
              <w:spacing w:line="240" w:lineRule="exac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216" w:rsidRDefault="008B2216" w:rsidP="008B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#</w:t>
      </w:r>
      <w:r>
        <w:rPr>
          <w:rFonts w:ascii="Times New Roman" w:hAnsi="Times New Roman"/>
          <w:sz w:val="24"/>
        </w:rPr>
        <w:t>A one-way ANOVA test was used to compare more than two independent group means</w:t>
      </w:r>
      <w:r>
        <w:rPr>
          <w:rFonts w:ascii="Times New Roman" w:hAnsi="Times New Roman" w:hint="eastAsia"/>
          <w:sz w:val="24"/>
          <w:lang w:eastAsia="zh-CN"/>
        </w:rPr>
        <w:t xml:space="preserve">. </w:t>
      </w:r>
      <w:r>
        <w:rPr>
          <w:rFonts w:ascii="Times New Roman" w:hAnsi="Times New Roman"/>
          <w:sz w:val="24"/>
        </w:rPr>
        <w:t xml:space="preserve">*Statistically significant at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u w:val="single"/>
        </w:rPr>
        <w:t>&lt;</w:t>
      </w:r>
      <w:r>
        <w:rPr>
          <w:rFonts w:ascii="Times New Roman" w:hAnsi="Times New Roman"/>
          <w:sz w:val="24"/>
        </w:rPr>
        <w:t xml:space="preserve"> 0.05</w:t>
      </w:r>
      <w:r>
        <w:rPr>
          <w:rFonts w:ascii="Times New Roman" w:hAnsi="Times New Roman" w:hint="eastAsia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 xml:space="preserve">**Highly statistically significant at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/>
          <w:sz w:val="24"/>
        </w:rPr>
        <w:t>0.01</w:t>
      </w:r>
      <w:r>
        <w:rPr>
          <w:rFonts w:ascii="Times New Roman" w:hAnsi="Times New Roman" w:hint="eastAsia"/>
          <w:sz w:val="24"/>
          <w:lang w:eastAsia="zh-CN"/>
        </w:rPr>
        <w:t xml:space="preserve">. </w:t>
      </w:r>
      <w:r>
        <w:rPr>
          <w:rFonts w:ascii="Times New Roman" w:hAnsi="Times New Roman"/>
          <w:sz w:val="24"/>
          <w:lang w:eastAsia="zh-CN"/>
        </w:rPr>
        <w:t xml:space="preserve">AFP, </w:t>
      </w:r>
      <w:r>
        <w:rPr>
          <w:rFonts w:ascii="Times New Roman" w:hAnsi="Times New Roman"/>
          <w:iCs/>
          <w:sz w:val="24"/>
          <w:lang w:eastAsia="zh-CN"/>
        </w:rPr>
        <w:t>alpha-feto protein</w:t>
      </w:r>
      <w:r>
        <w:rPr>
          <w:rFonts w:ascii="Times New Roman" w:hAnsi="Times New Roman"/>
          <w:sz w:val="24"/>
          <w:lang w:eastAsia="zh-CN"/>
        </w:rPr>
        <w:t xml:space="preserve">; ALBI, </w:t>
      </w:r>
      <w:r>
        <w:rPr>
          <w:rFonts w:ascii="Times New Roman" w:hAnsi="Times New Roman"/>
          <w:iCs/>
          <w:sz w:val="24"/>
          <w:lang w:eastAsia="zh-CN"/>
        </w:rPr>
        <w:t xml:space="preserve">albumin-bilirubin score; </w:t>
      </w:r>
      <w:r>
        <w:rPr>
          <w:rFonts w:ascii="Times New Roman" w:hAnsi="Times New Roman"/>
          <w:sz w:val="24"/>
          <w:lang w:eastAsia="zh-CN"/>
        </w:rPr>
        <w:t xml:space="preserve">ALT, </w:t>
      </w:r>
      <w:r>
        <w:rPr>
          <w:rFonts w:ascii="Times New Roman" w:hAnsi="Times New Roman"/>
          <w:iCs/>
          <w:sz w:val="24"/>
          <w:lang w:eastAsia="zh-CN"/>
        </w:rPr>
        <w:t>alanine aminotransferase</w:t>
      </w:r>
      <w:r>
        <w:rPr>
          <w:rFonts w:ascii="Times New Roman" w:hAnsi="Times New Roman"/>
          <w:sz w:val="24"/>
          <w:lang w:eastAsia="zh-CN"/>
        </w:rPr>
        <w:t>; ANOVA, analysis of variance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  <w:r>
        <w:rPr>
          <w:rFonts w:ascii="Times New Roman" w:hAnsi="Times New Roman"/>
          <w:sz w:val="24"/>
          <w:lang w:eastAsia="zh-CN"/>
        </w:rPr>
        <w:t xml:space="preserve">APRI, </w:t>
      </w:r>
      <w:r>
        <w:rPr>
          <w:rFonts w:ascii="Times New Roman" w:hAnsi="Times New Roman"/>
          <w:iCs/>
          <w:sz w:val="24"/>
          <w:lang w:eastAsia="zh-CN"/>
        </w:rPr>
        <w:t>AST to Platelet Ratio Index</w:t>
      </w:r>
      <w:r>
        <w:rPr>
          <w:rFonts w:ascii="Times New Roman" w:hAnsi="Times New Roman"/>
          <w:sz w:val="24"/>
          <w:lang w:eastAsia="zh-CN"/>
        </w:rPr>
        <w:t xml:space="preserve">; AST, </w:t>
      </w:r>
      <w:r>
        <w:rPr>
          <w:rFonts w:ascii="Times New Roman" w:hAnsi="Times New Roman"/>
          <w:iCs/>
          <w:sz w:val="24"/>
          <w:lang w:eastAsia="zh-CN"/>
        </w:rPr>
        <w:t>aspartate aminotransferase</w:t>
      </w:r>
      <w:r>
        <w:rPr>
          <w:rFonts w:ascii="Times New Roman" w:hAnsi="Times New Roman"/>
          <w:sz w:val="24"/>
          <w:lang w:eastAsia="zh-CN"/>
        </w:rPr>
        <w:t xml:space="preserve">; </w:t>
      </w:r>
      <w:r>
        <w:rPr>
          <w:rFonts w:ascii="Times New Roman" w:hAnsi="Times New Roman" w:hint="eastAsia"/>
          <w:sz w:val="24"/>
          <w:lang w:eastAsia="zh-CN"/>
        </w:rPr>
        <w:t>c</w:t>
      </w:r>
      <w:r>
        <w:rPr>
          <w:rFonts w:ascii="Times New Roman" w:hAnsi="Times New Roman"/>
          <w:sz w:val="24"/>
          <w:lang w:eastAsia="zh-CN"/>
        </w:rPr>
        <w:t>ircRNA</w:t>
      </w:r>
      <w:r>
        <w:rPr>
          <w:rFonts w:ascii="Times New Roman" w:hAnsi="Times New Roman" w:hint="eastAsia"/>
          <w:sz w:val="24"/>
          <w:lang w:eastAsia="zh-CN"/>
        </w:rPr>
        <w:t xml:space="preserve">, circular RNA; </w:t>
      </w:r>
      <w:r>
        <w:rPr>
          <w:rFonts w:ascii="Times New Roman" w:hAnsi="Times New Roman"/>
          <w:sz w:val="24"/>
          <w:lang w:eastAsia="zh-CN"/>
        </w:rPr>
        <w:t xml:space="preserve">CRP, </w:t>
      </w:r>
      <w:r>
        <w:rPr>
          <w:rFonts w:ascii="Times New Roman" w:hAnsi="Times New Roman"/>
          <w:iCs/>
          <w:sz w:val="24"/>
          <w:lang w:eastAsia="zh-CN"/>
        </w:rPr>
        <w:t>C. reactive protein</w:t>
      </w:r>
      <w:r>
        <w:rPr>
          <w:rFonts w:ascii="Times New Roman" w:hAnsi="Times New Roman"/>
          <w:sz w:val="24"/>
          <w:lang w:eastAsia="zh-CN"/>
        </w:rPr>
        <w:t xml:space="preserve">; CTP, Child-Turcotte-Pugh; FIB-4, </w:t>
      </w:r>
      <w:r>
        <w:rPr>
          <w:rFonts w:ascii="Times New Roman" w:hAnsi="Times New Roman"/>
          <w:iCs/>
          <w:sz w:val="24"/>
          <w:lang w:eastAsia="zh-CN"/>
        </w:rPr>
        <w:t>Fibrosis-4 </w:t>
      </w:r>
      <w:r>
        <w:rPr>
          <w:rFonts w:ascii="Times New Roman" w:hAnsi="Times New Roman"/>
          <w:sz w:val="24"/>
          <w:lang w:eastAsia="zh-CN"/>
        </w:rPr>
        <w:t xml:space="preserve">; MELD, </w:t>
      </w:r>
      <w:r>
        <w:rPr>
          <w:rFonts w:ascii="Times New Roman" w:hAnsi="Times New Roman"/>
          <w:iCs/>
          <w:sz w:val="24"/>
          <w:lang w:eastAsia="zh-CN"/>
        </w:rPr>
        <w:t>Model for End-Stage Liver Disease score</w:t>
      </w:r>
      <w:r>
        <w:rPr>
          <w:rFonts w:ascii="Times New Roman" w:hAnsi="Times New Roman"/>
          <w:sz w:val="24"/>
          <w:lang w:eastAsia="zh-CN"/>
        </w:rPr>
        <w:t xml:space="preserve">; NFS, </w:t>
      </w:r>
      <w:bookmarkStart w:id="0" w:name="_Hlk206192932"/>
      <w:r>
        <w:rPr>
          <w:rFonts w:ascii="Times New Roman" w:hAnsi="Times New Roman"/>
          <w:iCs/>
          <w:sz w:val="24"/>
          <w:lang w:eastAsia="zh-CN"/>
        </w:rPr>
        <w:t>Nonalcoholic Fatty Liver Disease Fibrosis Score</w:t>
      </w:r>
      <w:bookmarkEnd w:id="0"/>
      <w:r>
        <w:rPr>
          <w:rFonts w:ascii="Times New Roman" w:hAnsi="Times New Roman"/>
          <w:sz w:val="24"/>
          <w:lang w:eastAsia="zh-CN"/>
        </w:rPr>
        <w:t xml:space="preserve">; NLR, </w:t>
      </w:r>
      <w:r>
        <w:rPr>
          <w:rFonts w:ascii="Times New Roman" w:hAnsi="Times New Roman"/>
          <w:iCs/>
          <w:sz w:val="24"/>
          <w:lang w:eastAsia="zh-CN"/>
        </w:rPr>
        <w:t>neutrophil-to-lymphocyte ratio</w:t>
      </w:r>
      <w:r>
        <w:rPr>
          <w:rFonts w:ascii="Times New Roman" w:hAnsi="Times New Roman"/>
          <w:sz w:val="24"/>
          <w:lang w:eastAsia="zh-CN"/>
        </w:rPr>
        <w:t xml:space="preserve">; PLR, </w:t>
      </w:r>
      <w:r>
        <w:rPr>
          <w:rFonts w:ascii="Times New Roman" w:hAnsi="Times New Roman"/>
          <w:iCs/>
          <w:sz w:val="24"/>
          <w:lang w:eastAsia="zh-CN"/>
        </w:rPr>
        <w:t>platelet-to-lymphocyte ratio</w:t>
      </w:r>
      <w:r>
        <w:rPr>
          <w:rFonts w:ascii="Times New Roman" w:hAnsi="Times New Roman"/>
          <w:sz w:val="24"/>
          <w:lang w:eastAsia="zh-CN"/>
        </w:rPr>
        <w:t>; SD, standard deviation</w:t>
      </w:r>
      <w:r>
        <w:rPr>
          <w:rFonts w:ascii="Times New Roman" w:hAnsi="Times New Roman" w:hint="eastAsia"/>
          <w:sz w:val="24"/>
          <w:lang w:eastAsia="zh-CN"/>
        </w:rPr>
        <w:t>.</w:t>
      </w:r>
    </w:p>
    <w:p w:rsidR="008B2216" w:rsidRDefault="008B2216" w:rsidP="008B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zh-CN"/>
        </w:rPr>
      </w:pPr>
    </w:p>
    <w:p w:rsidR="00EB7646" w:rsidRDefault="00EB7646"/>
    <w:sectPr w:rsidR="00EB76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8B2216"/>
    <w:rsid w:val="008B2216"/>
    <w:rsid w:val="00EB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2">
    <w:name w:val="Grid Table 22"/>
    <w:basedOn w:val="TableNormal"/>
    <w:uiPriority w:val="47"/>
    <w:rsid w:val="008B2216"/>
    <w:pPr>
      <w:spacing w:after="0" w:line="240" w:lineRule="auto"/>
    </w:pPr>
    <w:rPr>
      <w:sz w:val="20"/>
      <w:szCs w:val="20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2025-08-28T06:58:00Z</dcterms:created>
  <dcterms:modified xsi:type="dcterms:W3CDTF">2025-08-28T06:58:00Z</dcterms:modified>
</cp:coreProperties>
</file>