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AF" w:rsidRPr="00235BED" w:rsidRDefault="000E74AF" w:rsidP="000E74AF">
      <w:pPr>
        <w:widowControl w:val="0"/>
        <w:spacing w:line="480" w:lineRule="auto"/>
        <w:jc w:val="both"/>
        <w:rPr>
          <w:rFonts w:ascii="Times New Roman" w:eastAsia="宋体" w:hAnsi="Times New Roman" w:cs="Times New Roman" w:hint="eastAsia"/>
          <w:bCs/>
          <w:kern w:val="2"/>
          <w:lang w:eastAsia="zh-CN"/>
        </w:rPr>
      </w:pP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Supplementary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Table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3.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Updated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RUCAM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for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the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cholestatic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or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mixed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liver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injury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of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DILI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and</w:t>
      </w:r>
      <w:r>
        <w:rPr>
          <w:rFonts w:ascii="Times New Roman" w:eastAsia="Yu Mincho" w:hAnsi="Times New Roman" w:cs="Times New Roman"/>
          <w:b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/>
          <w:kern w:val="2"/>
          <w:lang w:eastAsia="ja-JP"/>
        </w:rPr>
        <w:t>HILI</w:t>
      </w:r>
      <w:r w:rsidR="00235BED" w:rsidRPr="00235BED">
        <w:rPr>
          <w:rFonts w:ascii="Times New Roman" w:eastAsia="宋体" w:hAnsi="Times New Roman" w:cs="Times New Roman" w:hint="eastAsia"/>
          <w:b/>
          <w:kern w:val="2"/>
          <w:vertAlign w:val="superscript"/>
          <w:lang w:eastAsia="zh-CN"/>
        </w:rPr>
        <w:t>1</w:t>
      </w:r>
    </w:p>
    <w:tbl>
      <w:tblPr>
        <w:tblStyle w:val="TableGridLight1"/>
        <w:tblW w:w="82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1134"/>
        <w:gridCol w:w="992"/>
      </w:tblGrid>
      <w:tr w:rsidR="000E74AF" w:rsidRPr="005A4663" w:rsidTr="00297880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Items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cholestatic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mixed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liver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injury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Score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/>
                <w:bCs/>
                <w:sz w:val="22"/>
              </w:rPr>
              <w:t>Result</w:t>
            </w:r>
          </w:p>
        </w:tc>
      </w:tr>
      <w:tr w:rsidR="000E74AF" w:rsidRPr="005A4663" w:rsidTr="00297880">
        <w:tc>
          <w:tcPr>
            <w:tcW w:w="6096" w:type="dxa"/>
            <w:tcBorders>
              <w:top w:val="single" w:sz="4" w:space="0" w:color="auto"/>
            </w:tcBorders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1.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Time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to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onset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from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beginning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5–90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(rechallenge: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1–90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days)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+2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&lt;5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&gt;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90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(rechallenge: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&gt;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90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days)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+1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Alternative: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Time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to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onset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from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cessation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(except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slowly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metabolized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chemicals: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≤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30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days)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+1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2.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Course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after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cessation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Percentage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difference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between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peak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N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Decrease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≥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50%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within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180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days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+2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Decrease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&lt;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50%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within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180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days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+1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No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information,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persistence,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increase,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continued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use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3.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Risk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factors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Alcohol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current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drinks/d: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&gt;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women,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&gt;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3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men)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+1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Alcohol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(current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drinks/d: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≤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women,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≤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3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men)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Pregnancy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+1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Age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≥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55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years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+1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Age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&lt;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55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years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4.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Concomitant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drug(s)/herb(s)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None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no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information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Concomitant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with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incompatible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time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to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onset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Concomitant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with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compatible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suggestive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time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to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onset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−1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lastRenderedPageBreak/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Concomitant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known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hepatotoxin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with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compatible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suggestive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time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to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onset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−2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Concomitant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with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evidence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its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role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this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(positive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rechallenge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validated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test)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−3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5.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Search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alternative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causes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Tick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negative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Tick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not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done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Group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(7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causes)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HAV: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Anti-HAV-IgM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HBV: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HBsAg,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anti-HBc-IgM,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HBV-DNA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HCV: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Anti-HCV,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HCV-RNA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HEV: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Anti-HEV-IgM,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anti-HEV-IgG,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HEV-RNA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Hepatobiliary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sonography/color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Doppler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sonography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liver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vessels/endosonography/CT/MRC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Alcoholism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(AST/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≥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2)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Acute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recent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hypotension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history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(particularly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underlying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heart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disease)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Group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II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(5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causes)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Complications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underlying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disease(s)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such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sepsis,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metastatic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malignancy,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autoimmune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hepatitis,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chronic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hepatitis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primary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biliary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cholangitis,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sclerosing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cholangitis,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genetic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liver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diseases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Infection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suggested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PCR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titer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change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CMV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(anti-CMV-IgM,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anti-CMV-IgG)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EBV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(anti-EBV-IgM,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anti-EBV-IgG)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HSV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(anti-HSV-IgM,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anti-HSV-IgG)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lastRenderedPageBreak/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VZV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(anti-VZV-IgM,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anti-VZV-IgG)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Evaluation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group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II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All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causes—groups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and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II—reasonably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ruled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out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+2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seven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causes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group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ruled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out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+1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causes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group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ruled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out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Less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than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five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causes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group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ruled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out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−2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Alternative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cause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highly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probable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−3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6.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Previous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hepatotoxicity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Reaction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labeled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product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characteristics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+2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Reaction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published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but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unlabeled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+1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Reaction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unknown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7.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Response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to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unintentional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re-exposure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Doubling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with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drug/herb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alone,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provided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below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before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re-exposure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+3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Doubling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with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drugs(s)/herbs(s)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already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given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time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first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reaction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+1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Increase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ALP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but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less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than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in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same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conditions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as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first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administration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−2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6096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●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 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Other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situations</w:t>
            </w:r>
          </w:p>
        </w:tc>
        <w:tc>
          <w:tcPr>
            <w:tcW w:w="1134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  <w:tr w:rsidR="000E74AF" w:rsidRPr="005A4663" w:rsidTr="00297880">
        <w:tc>
          <w:tcPr>
            <w:tcW w:w="7230" w:type="dxa"/>
            <w:gridSpan w:val="2"/>
            <w:tcBorders>
              <w:bottom w:val="single" w:sz="4" w:space="0" w:color="auto"/>
            </w:tcBorders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Total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score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for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5A4663">
              <w:rPr>
                <w:rFonts w:ascii="Times New Roman" w:hAnsi="Times New Roman" w:cs="Times New Roman"/>
                <w:bCs/>
                <w:sz w:val="22"/>
              </w:rPr>
              <w:t>case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E74AF" w:rsidRPr="005A4663" w:rsidRDefault="000E74AF" w:rsidP="00297880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4663">
              <w:rPr>
                <w:rFonts w:ascii="Times New Roman" w:hAnsi="Times New Roman" w:cs="Times New Roman"/>
                <w:bCs/>
                <w:sz w:val="22"/>
              </w:rPr>
              <w:t>□</w:t>
            </w:r>
          </w:p>
        </w:tc>
      </w:tr>
    </w:tbl>
    <w:p w:rsidR="000E74AF" w:rsidRPr="005A4663" w:rsidRDefault="000E74AF" w:rsidP="000E74AF">
      <w:pPr>
        <w:widowControl w:val="0"/>
        <w:spacing w:line="480" w:lineRule="auto"/>
        <w:jc w:val="both"/>
        <w:rPr>
          <w:rFonts w:ascii="Times New Roman" w:eastAsia="Yu Mincho" w:hAnsi="Times New Roman" w:cs="Times New Roman"/>
          <w:bCs/>
          <w:kern w:val="2"/>
          <w:lang w:eastAsia="ja-JP"/>
        </w:rPr>
      </w:pP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Total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score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and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resulting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causality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grading: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≤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0,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excluded;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1–2,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unlikely;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3–5,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possible;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6–8,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probable;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and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≥9,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highly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probable.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ALT,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alanine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aminotransferase;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AST,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aspartate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aminotransferase;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CMV,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cytomegalovirus;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CT,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computed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tomography;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DILI,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drug-induced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liver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injury;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EBV,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Epstein-Barr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virus;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HAV,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hepatitis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virus;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HBc,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hepatitis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B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core;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HBsAg,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hepatitis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B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antigen;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HBV,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hepatitis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B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virus;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HCV,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hepatitis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virus;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HEV,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hepatitis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E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virus;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HILI,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herb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induced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liver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injury;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HSV,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herpes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simplex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virus;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MRC,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magnetic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resonance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cholangiography;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N,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lastRenderedPageBreak/>
        <w:t>upper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limit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of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normal;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RUCAM,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Roussel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Uclaf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Causality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Assessment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Method;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VZV,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varicella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zoster</w:t>
      </w:r>
      <w:r>
        <w:rPr>
          <w:rFonts w:ascii="Times New Roman" w:eastAsia="Yu Mincho" w:hAnsi="Times New Roman" w:cs="Times New Roman"/>
          <w:bCs/>
          <w:kern w:val="2"/>
          <w:lang w:eastAsia="ja-JP"/>
        </w:rPr>
        <w:t xml:space="preserve"> </w:t>
      </w:r>
      <w:r w:rsidRPr="005A4663">
        <w:rPr>
          <w:rFonts w:ascii="Times New Roman" w:eastAsia="Yu Mincho" w:hAnsi="Times New Roman" w:cs="Times New Roman"/>
          <w:bCs/>
          <w:kern w:val="2"/>
          <w:lang w:eastAsia="ja-JP"/>
        </w:rPr>
        <w:t>virus.</w:t>
      </w:r>
    </w:p>
    <w:p w:rsidR="00000000" w:rsidRDefault="00A20AFD">
      <w:pPr>
        <w:rPr>
          <w:rFonts w:eastAsia="宋体" w:hint="eastAsia"/>
          <w:lang w:eastAsia="zh-CN"/>
        </w:rPr>
      </w:pPr>
    </w:p>
    <w:p w:rsidR="00235BED" w:rsidRDefault="00235BED">
      <w:pPr>
        <w:rPr>
          <w:rFonts w:eastAsia="宋体" w:hint="eastAsia"/>
          <w:lang w:eastAsia="zh-CN"/>
        </w:rPr>
      </w:pPr>
    </w:p>
    <w:p w:rsidR="00235BED" w:rsidRPr="00235BED" w:rsidRDefault="00235BED">
      <w:pPr>
        <w:rPr>
          <w:rFonts w:eastAsia="宋体" w:hint="eastAsia"/>
          <w:b/>
          <w:lang w:eastAsia="zh-CN"/>
        </w:rPr>
      </w:pPr>
      <w:r w:rsidRPr="00235BED">
        <w:rPr>
          <w:rFonts w:eastAsia="宋体" w:hint="eastAsia"/>
          <w:b/>
          <w:lang w:eastAsia="zh-CN"/>
        </w:rPr>
        <w:t>Reference</w:t>
      </w:r>
    </w:p>
    <w:p w:rsidR="00A20AFD" w:rsidRPr="009E7F7C" w:rsidRDefault="00A20AFD" w:rsidP="00A20AFD">
      <w:pPr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 xml:space="preserve"> </w:t>
      </w:r>
    </w:p>
    <w:p w:rsidR="00A20AFD" w:rsidRDefault="00A20AFD" w:rsidP="00A20AFD">
      <w:pPr>
        <w:rPr>
          <w:rFonts w:eastAsia="宋体"/>
          <w:lang w:eastAsia="zh-CN"/>
        </w:rPr>
      </w:pPr>
      <w:r>
        <w:rPr>
          <w:rFonts w:ascii="Times New Roman" w:eastAsia="宋体" w:hAnsi="Times New Roman" w:cs="Times New Roman" w:hint="eastAsia"/>
          <w:color w:val="000000"/>
          <w:lang w:eastAsia="zh-CN"/>
        </w:rPr>
        <w:t xml:space="preserve">1. </w:t>
      </w:r>
      <w:r w:rsidRPr="005A4663">
        <w:rPr>
          <w:rFonts w:ascii="Times New Roman" w:hAnsi="Times New Roman" w:cs="Times New Roman"/>
          <w:color w:val="000000"/>
        </w:rPr>
        <w:t>Danan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G,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Teschke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RUCAM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drug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herb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induced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liver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injury: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update.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Int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Mol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Sci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2015;17(1):14.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doi: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663">
        <w:rPr>
          <w:rFonts w:ascii="Times New Roman" w:hAnsi="Times New Roman" w:cs="Times New Roman"/>
          <w:color w:val="000000"/>
        </w:rPr>
        <w:t>10.3390/ijms17010014,</w:t>
      </w:r>
      <w:r>
        <w:rPr>
          <w:rFonts w:ascii="Times New Roman" w:hAnsi="Times New Roman" w:cs="Times New Roman"/>
          <w:color w:val="000000"/>
        </w:rPr>
        <w:t xml:space="preserve"> PMID: </w:t>
      </w:r>
      <w:r w:rsidRPr="005A4663">
        <w:rPr>
          <w:rFonts w:ascii="Times New Roman" w:hAnsi="Times New Roman" w:cs="Times New Roman"/>
          <w:color w:val="000000"/>
        </w:rPr>
        <w:t>26712744</w:t>
      </w:r>
    </w:p>
    <w:p w:rsidR="00235BED" w:rsidRPr="00235BED" w:rsidRDefault="00235BED">
      <w:pPr>
        <w:rPr>
          <w:rFonts w:eastAsia="宋体" w:hint="eastAsia"/>
          <w:lang w:eastAsia="zh-CN"/>
        </w:rPr>
      </w:pPr>
    </w:p>
    <w:sectPr w:rsidR="00235BED" w:rsidRPr="00235B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0000028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0E74AF"/>
    <w:rsid w:val="000E74AF"/>
    <w:rsid w:val="00235BED"/>
    <w:rsid w:val="00A2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TableNormal"/>
    <w:uiPriority w:val="40"/>
    <w:rsid w:val="000E74AF"/>
    <w:pPr>
      <w:spacing w:after="0" w:line="240" w:lineRule="auto"/>
    </w:pPr>
    <w:rPr>
      <w:rFonts w:eastAsia="Yu Mincho"/>
      <w:kern w:val="2"/>
      <w:sz w:val="21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2023-04-24T01:59:00Z</dcterms:created>
  <dcterms:modified xsi:type="dcterms:W3CDTF">2023-04-24T01:59:00Z</dcterms:modified>
</cp:coreProperties>
</file>