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CA" w:rsidRPr="0009487A" w:rsidRDefault="001725CA" w:rsidP="001725CA">
      <w:pP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</w:pP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Table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1.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The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renal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function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predicting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values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based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on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scoring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systems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of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tumor</w:t>
      </w:r>
      <w:r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 xml:space="preserve"> </w:t>
      </w:r>
      <w:r w:rsidRPr="0009487A">
        <w:rPr>
          <w:rFonts w:ascii="Times New Roman" w:eastAsia="宋体" w:hAnsi="Times New Roman" w:cs="Times New Roman"/>
          <w:color w:val="000000"/>
          <w:sz w:val="13"/>
          <w:szCs w:val="13"/>
          <w:u w:color="000000"/>
        </w:rPr>
        <w:t>complexity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3"/>
        <w:gridCol w:w="1054"/>
        <w:gridCol w:w="1848"/>
        <w:gridCol w:w="1844"/>
        <w:gridCol w:w="1839"/>
        <w:gridCol w:w="1860"/>
        <w:gridCol w:w="1867"/>
        <w:gridCol w:w="1841"/>
      </w:tblGrid>
      <w:tr w:rsidR="001725CA" w:rsidRPr="0009487A" w:rsidTr="003640F4">
        <w:tc>
          <w:tcPr>
            <w:tcW w:w="2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Scoring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system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CSA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RENAL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C-index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PADUA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DAP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PPPM</w:t>
            </w:r>
          </w:p>
        </w:tc>
      </w:tr>
      <w:tr w:rsidR="001725CA" w:rsidRPr="0009487A" w:rsidTr="003640F4"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Leslie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S,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2014.</w:t>
            </w:r>
          </w:p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PMID: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24680360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Endpoint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NB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eGFR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Results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OR: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2.12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(≥20cm</w:t>
            </w:r>
            <w:r w:rsidRPr="0009487A">
              <w:rPr>
                <w:color w:val="000000"/>
                <w:sz w:val="13"/>
                <w:szCs w:val="13"/>
                <w:u w:color="000000"/>
                <w:vertAlign w:val="superscript"/>
              </w:rPr>
              <w:t>2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&lt;20cm</w:t>
            </w:r>
            <w:r w:rsidRPr="0009487A">
              <w:rPr>
                <w:color w:val="000000"/>
                <w:sz w:val="13"/>
                <w:szCs w:val="13"/>
                <w:u w:color="000000"/>
                <w:vertAlign w:val="superscript"/>
              </w:rPr>
              <w:t>2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)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 w:val="restart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Hsieh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PF,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2016.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PMID: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26820552</w:t>
            </w: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Endpoint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10%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GFR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change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Results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CSA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RENAL,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AUC:0.86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0.69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AUC: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0.69,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&lt;CSA</w:t>
            </w: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 w:val="restart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Haifler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M,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2018.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PMID: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28941921</w:t>
            </w: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Endpoint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20%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GFR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decline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Results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CSA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RENAL,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AUC:0.94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0.80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AUC: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0.80,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&lt;CSA</w:t>
            </w: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 w:val="restart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Suk-Ouichai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C,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2018.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PMID: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29522868</w:t>
            </w: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Endpoint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Results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0.25,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modest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</w:p>
        </w:tc>
      </w:tr>
      <w:tr w:rsidR="001725CA" w:rsidRPr="0009487A" w:rsidTr="003640F4">
        <w:tc>
          <w:tcPr>
            <w:tcW w:w="1056" w:type="dxa"/>
            <w:vMerge w:val="restart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Tanaka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H,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2019.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PMID: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30291914</w:t>
            </w: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Endpoint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</w:p>
        </w:tc>
      </w:tr>
      <w:tr w:rsidR="001725CA" w:rsidRPr="0009487A" w:rsidTr="003640F4">
        <w:tc>
          <w:tcPr>
            <w:tcW w:w="1056" w:type="dxa"/>
            <w:vMerge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Results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0.30,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modest,</w:t>
            </w:r>
          </w:p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&lt;PPPM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0.30,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modest,</w:t>
            </w:r>
          </w:p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&lt;PPPM</w:t>
            </w: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0.46</w:t>
            </w:r>
          </w:p>
        </w:tc>
      </w:tr>
      <w:tr w:rsidR="001725CA" w:rsidRPr="0009487A" w:rsidTr="003640F4">
        <w:tc>
          <w:tcPr>
            <w:tcW w:w="1056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 w:val="restart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Simmons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MN,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2012.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PMID: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22698624</w:t>
            </w: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Endpoint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Results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  <w:vertAlign w:val="superscript"/>
              </w:rPr>
              <w:t>2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0.77,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&lt;DAP</w:t>
            </w: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r2=0.77,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&lt;DAP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  <w:vertAlign w:val="superscript"/>
              </w:rPr>
              <w:t>2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0.81,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&gt;RENAL</w:t>
            </w: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1056" w:type="dxa"/>
            <w:vMerge w:val="restart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Gupta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R,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2019.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PMID: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30107186</w:t>
            </w:r>
          </w:p>
        </w:tc>
        <w:tc>
          <w:tcPr>
            <w:tcW w:w="1094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Endpoint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Nadir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eGFR</w:t>
            </w:r>
          </w:p>
        </w:tc>
        <w:tc>
          <w:tcPr>
            <w:tcW w:w="1968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Nadir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eGFR</w:t>
            </w:r>
          </w:p>
        </w:tc>
        <w:tc>
          <w:tcPr>
            <w:tcW w:w="1963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Nadir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eGFR</w:t>
            </w:r>
          </w:p>
        </w:tc>
        <w:tc>
          <w:tcPr>
            <w:tcW w:w="1962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Nadir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000000"/>
                <w:sz w:val="13"/>
                <w:szCs w:val="13"/>
                <w:u w:color="000000"/>
              </w:rPr>
              <w:t>eGFR</w:t>
            </w:r>
          </w:p>
        </w:tc>
      </w:tr>
      <w:tr w:rsidR="001725CA" w:rsidRPr="0009487A" w:rsidTr="003640F4"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000000"/>
                <w:sz w:val="13"/>
                <w:szCs w:val="13"/>
                <w:u w:color="000000"/>
              </w:rPr>
              <w:t>Results</w:t>
            </w:r>
            <w:r>
              <w:rPr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P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0.027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P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=0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.045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No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significance,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&lt;RENAL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(P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=0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.045),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&lt;CSA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(P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0.027),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&lt;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PPPM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(P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0.012)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1725CA" w:rsidRPr="0009487A" w:rsidRDefault="001725CA" w:rsidP="003640F4">
            <w:pPr>
              <w:rPr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P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=0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.012</w:t>
            </w:r>
          </w:p>
        </w:tc>
      </w:tr>
    </w:tbl>
    <w:p w:rsidR="001725CA" w:rsidRDefault="001725CA" w:rsidP="001725CA">
      <w:pP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1725CA" w:rsidRPr="00954E6A" w:rsidRDefault="001725CA" w:rsidP="001725CA">
      <w:pPr>
        <w:spacing w:line="480" w:lineRule="auto"/>
        <w:rPr>
          <w:rFonts w:asciiTheme="majorBidi" w:hAnsiTheme="majorBidi"/>
          <w:b/>
          <w:kern w:val="2"/>
          <w:sz w:val="24"/>
        </w:rPr>
      </w:pPr>
      <w:r w:rsidRPr="00E97B2B">
        <w:rPr>
          <w:rFonts w:asciiTheme="majorBidi" w:hAnsiTheme="majorBidi"/>
          <w:b/>
          <w:bCs/>
          <w:kern w:val="2"/>
          <w:sz w:val="24"/>
        </w:rPr>
        <w:t>Abbreviations:</w:t>
      </w:r>
      <w:r>
        <w:rPr>
          <w:rFonts w:asciiTheme="majorBidi" w:hAnsiTheme="majorBidi"/>
          <w:b/>
          <w:bCs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C-index,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centrality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index;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CSA,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contact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surface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area;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DAP,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diameter-axial-polar;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NB</w:t>
      </w:r>
      <w:r>
        <w:rPr>
          <w:rFonts w:asciiTheme="majorBidi" w:hAnsiTheme="majorBidi"/>
          <w:kern w:val="2"/>
          <w:sz w:val="24"/>
        </w:rPr>
        <w:t xml:space="preserve"> e</w:t>
      </w:r>
      <w:r w:rsidRPr="00954E6A">
        <w:rPr>
          <w:rFonts w:asciiTheme="majorBidi" w:hAnsiTheme="majorBidi"/>
          <w:kern w:val="2"/>
          <w:sz w:val="24"/>
        </w:rPr>
        <w:t>GFR,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new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baseline</w:t>
      </w:r>
      <w:r>
        <w:rPr>
          <w:rFonts w:asciiTheme="majorBidi" w:hAnsiTheme="majorBidi"/>
          <w:kern w:val="2"/>
          <w:sz w:val="24"/>
        </w:rPr>
        <w:t xml:space="preserve"> </w:t>
      </w:r>
      <w:r w:rsidRPr="00017398">
        <w:rPr>
          <w:rFonts w:asciiTheme="majorBidi" w:hAnsiTheme="majorBidi" w:cstheme="majorBidi"/>
          <w:kern w:val="2"/>
          <w:sz w:val="24"/>
          <w:szCs w:val="24"/>
        </w:rPr>
        <w:t>estimated</w:t>
      </w:r>
      <w:r>
        <w:rPr>
          <w:rFonts w:asciiTheme="majorBidi" w:hAnsiTheme="majorBidi" w:cstheme="majorBidi"/>
          <w:kern w:val="2"/>
          <w:sz w:val="24"/>
          <w:szCs w:val="24"/>
        </w:rPr>
        <w:t xml:space="preserve"> </w:t>
      </w:r>
      <w:r w:rsidRPr="00017398">
        <w:rPr>
          <w:rFonts w:asciiTheme="majorBidi" w:hAnsiTheme="majorBidi" w:cstheme="majorBidi"/>
          <w:kern w:val="2"/>
          <w:sz w:val="24"/>
          <w:szCs w:val="24"/>
        </w:rPr>
        <w:t>glomerular</w:t>
      </w:r>
      <w:r>
        <w:rPr>
          <w:rFonts w:asciiTheme="majorBidi" w:hAnsiTheme="majorBidi" w:cstheme="majorBidi"/>
          <w:kern w:val="2"/>
          <w:sz w:val="24"/>
          <w:szCs w:val="24"/>
        </w:rPr>
        <w:t xml:space="preserve"> </w:t>
      </w:r>
      <w:r w:rsidRPr="00017398">
        <w:rPr>
          <w:rFonts w:asciiTheme="majorBidi" w:hAnsiTheme="majorBidi" w:cstheme="majorBidi"/>
          <w:kern w:val="2"/>
          <w:sz w:val="24"/>
          <w:szCs w:val="24"/>
        </w:rPr>
        <w:t>filtration</w:t>
      </w:r>
      <w:r>
        <w:rPr>
          <w:rFonts w:asciiTheme="majorBidi" w:hAnsiTheme="majorBidi" w:cstheme="majorBidi"/>
          <w:kern w:val="2"/>
          <w:sz w:val="24"/>
          <w:szCs w:val="24"/>
        </w:rPr>
        <w:t xml:space="preserve"> </w:t>
      </w:r>
      <w:r w:rsidRPr="00017398">
        <w:rPr>
          <w:rFonts w:asciiTheme="majorBidi" w:hAnsiTheme="majorBidi" w:cstheme="majorBidi"/>
          <w:kern w:val="2"/>
          <w:sz w:val="24"/>
          <w:szCs w:val="24"/>
        </w:rPr>
        <w:t>rate</w:t>
      </w:r>
      <w:r>
        <w:rPr>
          <w:rFonts w:asciiTheme="majorBidi" w:hAnsiTheme="majorBidi" w:cstheme="majorBidi"/>
          <w:kern w:val="2"/>
          <w:sz w:val="24"/>
          <w:szCs w:val="24"/>
        </w:rPr>
        <w:t>s</w:t>
      </w:r>
      <w:r w:rsidRPr="00954E6A">
        <w:rPr>
          <w:rFonts w:asciiTheme="majorBidi" w:hAnsiTheme="majorBidi"/>
          <w:kern w:val="2"/>
          <w:sz w:val="24"/>
        </w:rPr>
        <w:t>;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PADUA,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preoperative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aspects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and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dimensions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used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for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an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anatomical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classification;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PPPM,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percent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of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preserved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parenchymal</w:t>
      </w:r>
      <w:r>
        <w:rPr>
          <w:rFonts w:asciiTheme="majorBidi" w:hAnsiTheme="majorBidi"/>
          <w:kern w:val="2"/>
          <w:sz w:val="24"/>
        </w:rPr>
        <w:t xml:space="preserve"> </w:t>
      </w:r>
      <w:r w:rsidRPr="00954E6A">
        <w:rPr>
          <w:rFonts w:asciiTheme="majorBidi" w:hAnsiTheme="majorBidi"/>
          <w:kern w:val="2"/>
          <w:sz w:val="24"/>
        </w:rPr>
        <w:t>mass.</w:t>
      </w:r>
      <w:r>
        <w:rPr>
          <w:rFonts w:asciiTheme="majorBidi" w:hAnsiTheme="majorBidi"/>
          <w:kern w:val="2"/>
          <w:sz w:val="24"/>
        </w:rPr>
        <w:t xml:space="preserve"> </w:t>
      </w:r>
    </w:p>
    <w:p w:rsidR="001725CA" w:rsidRDefault="001725CA" w:rsidP="001725CA">
      <w:pP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1725CA" w:rsidRPr="0009487A" w:rsidRDefault="001725CA" w:rsidP="001725CA">
      <w:pP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09487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br w:type="page"/>
      </w:r>
    </w:p>
    <w:p w:rsidR="001725CA" w:rsidRPr="0009487A" w:rsidRDefault="001725CA" w:rsidP="001725CA">
      <w:pP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09487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References:</w:t>
      </w:r>
    </w:p>
    <w:tbl>
      <w:tblPr>
        <w:tblStyle w:val="TableGrid"/>
        <w:tblW w:w="5000" w:type="pct"/>
        <w:tblLook w:val="04A0"/>
      </w:tblPr>
      <w:tblGrid>
        <w:gridCol w:w="1566"/>
        <w:gridCol w:w="1987"/>
        <w:gridCol w:w="1895"/>
        <w:gridCol w:w="1576"/>
        <w:gridCol w:w="1826"/>
        <w:gridCol w:w="2163"/>
        <w:gridCol w:w="2163"/>
      </w:tblGrid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CSA</w:t>
            </w: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Eur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2014;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66: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884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(Endpoints)</w:t>
            </w: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2016;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196: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33</w:t>
            </w: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2018;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199: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649.</w:t>
            </w: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Int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2016;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23: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667</w:t>
            </w: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Urology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2018;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116: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106.(negative)</w:t>
            </w: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.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2019;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201(4):693-701(ipsilateral)</w:t>
            </w:r>
          </w:p>
        </w:tc>
      </w:tr>
      <w:tr w:rsidR="001725CA" w:rsidRPr="0009487A" w:rsidTr="003640F4">
        <w:trPr>
          <w:trHeight w:val="1072"/>
        </w:trPr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NBeGFR: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OR: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2.12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(≥20cm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  <w:vertAlign w:val="superscript"/>
              </w:rPr>
              <w:t>2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&lt;20cm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  <w:vertAlign w:val="superscript"/>
              </w:rPr>
              <w:t>2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)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Kidney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preserve</w:t>
            </w: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10%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GFR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change: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CSA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RENAL;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AUC:0.86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0.69</w:t>
            </w: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20%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GFR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decline: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CSA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RENAL;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AUC:0.94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0.80</w:t>
            </w: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Kidney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preserve: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AUC:0.649</w:t>
            </w: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and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mass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preserved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: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0.25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modest</w:t>
            </w: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and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mass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preserved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: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0.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30,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modest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;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QE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PPPM: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0.46</w:t>
            </w:r>
          </w:p>
        </w:tc>
      </w:tr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RENAL</w:t>
            </w: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2009;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182: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844.</w:t>
            </w: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2012;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188: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39</w:t>
            </w: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2012;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188: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384.(ipsolateral)</w:t>
            </w: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Urology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2017;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99: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112</w:t>
            </w: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Urology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2019;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124: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160−167.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.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2019;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201(4):693-701</w:t>
            </w:r>
          </w:p>
        </w:tc>
      </w:tr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no</w:t>
            </w: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hd w:val="clear" w:color="auto" w:fill="FFFFFF"/>
              <w:spacing w:beforeAutospacing="1" w:afterAutospacing="1" w:line="14" w:lineRule="atLeast"/>
              <w:jc w:val="left"/>
              <w:outlineLvl w:val="0"/>
              <w:rPr>
                <w:rFonts w:eastAsia="Times New Roman"/>
                <w:b/>
                <w:bCs/>
                <w:color w:val="212121"/>
                <w:kern w:val="44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Operated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volume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loss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and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functional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recovery</w:t>
            </w:r>
            <w:r w:rsidRPr="0009487A">
              <w:rPr>
                <w:rFonts w:eastAsia="Arial Unicode MS" w:hint="eastAsia"/>
                <w:color w:val="000000"/>
                <w:sz w:val="13"/>
                <w:szCs w:val="13"/>
                <w:u w:color="000000"/>
              </w:rPr>
              <w:t>：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P&lt;0.001</w:t>
            </w: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hd w:val="clear" w:color="auto" w:fill="FFFFFF"/>
              <w:spacing w:before="100" w:beforeAutospacing="1" w:after="100" w:afterAutospacing="1" w:line="14" w:lineRule="atLeast"/>
              <w:jc w:val="left"/>
              <w:outlineLvl w:val="0"/>
              <w:rPr>
                <w:rFonts w:eastAsia="Times New Roman"/>
                <w:b/>
                <w:bCs/>
                <w:color w:val="212121"/>
                <w:kern w:val="44"/>
                <w:sz w:val="13"/>
                <w:szCs w:val="13"/>
                <w:u w:color="000000"/>
              </w:rPr>
            </w:pPr>
            <w:r w:rsidRPr="0009487A">
              <w:rPr>
                <w:b/>
                <w:bCs/>
                <w:color w:val="000000"/>
                <w:sz w:val="13"/>
                <w:szCs w:val="13"/>
                <w:u w:color="000000"/>
              </w:rPr>
              <w:t>&lt;DAP,</w:t>
            </w:r>
            <w:r>
              <w:rPr>
                <w:b/>
                <w:bCs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Operated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volume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loss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and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functional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recovery: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  <w:vertAlign w:val="superscript"/>
              </w:rPr>
              <w:t>2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0.77</w:t>
            </w: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Not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overall,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only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ipsilateral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function:</w:t>
            </w:r>
          </w:p>
          <w:p w:rsidR="001725CA" w:rsidRPr="0009487A" w:rsidRDefault="001725CA" w:rsidP="003640F4">
            <w:pPr>
              <w:widowControl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()</w:t>
            </w: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Nadir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eGFR</w:t>
            </w: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and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mass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preserved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: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0.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30,</w:t>
            </w:r>
            <w:r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modest</w:t>
            </w:r>
          </w:p>
        </w:tc>
      </w:tr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C-index</w:t>
            </w: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Urol.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2010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May;183(5):1708-13</w:t>
            </w: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2012;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188: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39</w:t>
            </w: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2012;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188: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384.(ipsolateral)</w:t>
            </w: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hd w:val="clear" w:color="auto" w:fill="FFFFFF"/>
              <w:spacing w:beforeAutospacing="1" w:afterAutospacing="1" w:line="14" w:lineRule="atLeast"/>
              <w:jc w:val="left"/>
              <w:outlineLvl w:val="0"/>
              <w:rPr>
                <w:rFonts w:eastAsia="Times New Roman"/>
                <w:b/>
                <w:bCs/>
                <w:color w:val="212121"/>
                <w:kern w:val="44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Operated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volume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loss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and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functional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recovery</w:t>
            </w:r>
            <w:r w:rsidRPr="0009487A">
              <w:rPr>
                <w:rFonts w:eastAsia="Arial Unicode MS" w:hint="eastAsia"/>
                <w:color w:val="000000"/>
                <w:sz w:val="13"/>
                <w:szCs w:val="13"/>
                <w:u w:color="000000"/>
              </w:rPr>
              <w:t>：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P&lt;0.001</w:t>
            </w: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hd w:val="clear" w:color="auto" w:fill="FFFFFF"/>
              <w:spacing w:beforeAutospacing="1" w:afterAutospacing="1" w:line="14" w:lineRule="atLeast"/>
              <w:jc w:val="left"/>
              <w:outlineLvl w:val="0"/>
              <w:rPr>
                <w:rFonts w:eastAsia="Times New Roman"/>
                <w:b/>
                <w:bCs/>
                <w:color w:val="212121"/>
                <w:kern w:val="44"/>
                <w:sz w:val="13"/>
                <w:szCs w:val="13"/>
                <w:u w:color="000000"/>
              </w:rPr>
            </w:pPr>
            <w:r w:rsidRPr="0009487A">
              <w:rPr>
                <w:b/>
                <w:bCs/>
                <w:color w:val="000000"/>
                <w:sz w:val="13"/>
                <w:szCs w:val="13"/>
                <w:u w:color="000000"/>
              </w:rPr>
              <w:t>&lt;DAP;</w:t>
            </w:r>
            <w:r>
              <w:rPr>
                <w:b/>
                <w:bCs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Operated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volume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loss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and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functional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recovery: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  <w:vertAlign w:val="superscript"/>
              </w:rPr>
              <w:t>2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0.77</w:t>
            </w: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PADUA</w:t>
            </w: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Eur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Urol.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2009;56:786–793</w:t>
            </w: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BJU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Int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.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2019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Apr;123(4):639-645.(correlation)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Urology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2019;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124: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160−167.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DAP</w:t>
            </w: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2012;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188: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384(ipsolateral)</w:t>
            </w: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hd w:val="clear" w:color="auto" w:fill="FFFFFF"/>
              <w:spacing w:beforeAutospacing="1" w:afterAutospacing="1" w:line="14" w:lineRule="atLeast"/>
              <w:jc w:val="left"/>
              <w:outlineLvl w:val="0"/>
              <w:rPr>
                <w:rFonts w:eastAsia="Times New Roman"/>
                <w:b/>
                <w:bCs/>
                <w:color w:val="212121"/>
                <w:kern w:val="44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Operated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volume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loss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and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functional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recovery</w:t>
            </w:r>
            <w:r w:rsidRPr="0009487A">
              <w:rPr>
                <w:rFonts w:eastAsia="Arial Unicode MS" w:hint="eastAsia"/>
                <w:color w:val="000000"/>
                <w:sz w:val="13"/>
                <w:szCs w:val="13"/>
                <w:u w:color="000000"/>
              </w:rPr>
              <w:t>：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  <w:vertAlign w:val="superscript"/>
              </w:rPr>
              <w:t>2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0.81</w:t>
            </w: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</w:tr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PPPM</w:t>
            </w: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Urology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2019;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124: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160−167.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J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Urol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.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2019;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201(4):693-701</w:t>
            </w:r>
          </w:p>
        </w:tc>
      </w:tr>
      <w:tr w:rsidR="001725CA" w:rsidRPr="0009487A" w:rsidTr="003640F4">
        <w:tc>
          <w:tcPr>
            <w:tcW w:w="59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754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</w:p>
        </w:tc>
        <w:tc>
          <w:tcPr>
            <w:tcW w:w="719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598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693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Nadir</w:t>
            </w:r>
            <w:r>
              <w:rPr>
                <w:rFonts w:eastAsia="Arial Unicode MS"/>
                <w:color w:val="000000"/>
                <w:sz w:val="13"/>
                <w:szCs w:val="13"/>
                <w:u w:color="000000"/>
              </w:rPr>
              <w:t xml:space="preserve"> </w:t>
            </w:r>
            <w:r w:rsidRPr="0009487A">
              <w:rPr>
                <w:rFonts w:eastAsia="Arial Unicode MS"/>
                <w:color w:val="000000"/>
                <w:sz w:val="13"/>
                <w:szCs w:val="13"/>
                <w:u w:color="000000"/>
              </w:rPr>
              <w:t>eGFR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later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renal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functional</w:t>
            </w:r>
          </w:p>
        </w:tc>
        <w:tc>
          <w:tcPr>
            <w:tcW w:w="821" w:type="pct"/>
          </w:tcPr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</w:pP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ipsilateral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function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and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mass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preserved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:</w:t>
            </w:r>
          </w:p>
          <w:p w:rsidR="001725CA" w:rsidRPr="0009487A" w:rsidRDefault="001725CA" w:rsidP="003640F4">
            <w:pPr>
              <w:widowControl/>
              <w:spacing w:line="360" w:lineRule="auto"/>
              <w:jc w:val="left"/>
              <w:rPr>
                <w:rFonts w:eastAsia="Arial Unicode MS"/>
                <w:color w:val="000000"/>
                <w:sz w:val="13"/>
                <w:szCs w:val="13"/>
                <w:u w:color="000000"/>
              </w:rPr>
            </w:pP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r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=</w:t>
            </w:r>
            <w:r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 xml:space="preserve"> </w:t>
            </w:r>
            <w:r w:rsidRPr="0009487A">
              <w:rPr>
                <w:rFonts w:eastAsia="Times New Roman"/>
                <w:color w:val="212121"/>
                <w:sz w:val="13"/>
                <w:szCs w:val="13"/>
                <w:u w:color="000000"/>
                <w:shd w:val="clear" w:color="auto" w:fill="FFFFFF"/>
              </w:rPr>
              <w:t>0.</w:t>
            </w:r>
            <w:r w:rsidRPr="0009487A">
              <w:rPr>
                <w:color w:val="212121"/>
                <w:sz w:val="13"/>
                <w:szCs w:val="13"/>
                <w:u w:color="000000"/>
                <w:shd w:val="clear" w:color="auto" w:fill="FFFFFF"/>
              </w:rPr>
              <w:t>46,</w:t>
            </w:r>
          </w:p>
        </w:tc>
      </w:tr>
    </w:tbl>
    <w:p w:rsidR="001725CA" w:rsidRPr="0009487A" w:rsidRDefault="001725CA" w:rsidP="001725CA">
      <w:pPr>
        <w:rPr>
          <w:rFonts w:ascii="Calibri" w:eastAsia="Arial Unicode MS" w:hAnsi="Calibri" w:cs="Arial Unicode MS"/>
          <w:color w:val="000000"/>
          <w:szCs w:val="21"/>
          <w:u w:color="000000"/>
        </w:rPr>
      </w:pPr>
    </w:p>
    <w:p w:rsidR="001725CA" w:rsidRPr="00E97B2B" w:rsidRDefault="001725CA" w:rsidP="001725CA">
      <w:pPr>
        <w:rPr>
          <w:rFonts w:asciiTheme="majorBidi" w:hAnsiTheme="majorBidi"/>
          <w:b/>
          <w:bCs/>
          <w:sz w:val="24"/>
        </w:rPr>
      </w:pPr>
      <w:r w:rsidRPr="00E97B2B">
        <w:rPr>
          <w:rFonts w:asciiTheme="majorBidi" w:hAnsiTheme="majorBidi"/>
          <w:b/>
          <w:bCs/>
          <w:sz w:val="24"/>
        </w:rPr>
        <w:lastRenderedPageBreak/>
        <w:t>Abbreviations:</w:t>
      </w:r>
      <w:r>
        <w:rPr>
          <w:rFonts w:asciiTheme="majorBidi" w:hAnsiTheme="majorBidi"/>
          <w:b/>
          <w:bCs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A</w:t>
      </w:r>
      <w:r>
        <w:rPr>
          <w:rFonts w:asciiTheme="majorBidi" w:hAnsiTheme="majorBidi"/>
          <w:sz w:val="24"/>
        </w:rPr>
        <w:t>UC</w:t>
      </w:r>
      <w:r w:rsidRPr="00954E6A">
        <w:rPr>
          <w:rFonts w:asciiTheme="majorBidi" w:hAnsiTheme="majorBidi"/>
          <w:sz w:val="24"/>
        </w:rPr>
        <w:t>,</w:t>
      </w:r>
      <w:r>
        <w:rPr>
          <w:rFonts w:asciiTheme="majorBidi" w:hAnsiTheme="majorBidi"/>
          <w:sz w:val="24"/>
        </w:rPr>
        <w:t xml:space="preserve"> area under curve</w:t>
      </w:r>
      <w:r w:rsidRPr="00954E6A">
        <w:rPr>
          <w:rFonts w:asciiTheme="majorBidi" w:hAnsiTheme="majorBidi"/>
          <w:sz w:val="24"/>
        </w:rPr>
        <w:t>;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C-index,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centrality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index;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CSA,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contact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surface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area;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DAP,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diameter-axial-polar;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GFR,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glomerular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filtration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rate;</w:t>
      </w:r>
      <w:r>
        <w:rPr>
          <w:rFonts w:asciiTheme="majorBidi" w:hAnsiTheme="majorBidi"/>
          <w:sz w:val="24"/>
        </w:rPr>
        <w:t xml:space="preserve"> e</w:t>
      </w:r>
      <w:r w:rsidRPr="00954E6A">
        <w:rPr>
          <w:rFonts w:asciiTheme="majorBidi" w:hAnsiTheme="majorBidi"/>
          <w:sz w:val="24"/>
        </w:rPr>
        <w:t>GFR,</w:t>
      </w:r>
      <w:r>
        <w:rPr>
          <w:rFonts w:asciiTheme="majorBidi" w:hAnsiTheme="majorBidi"/>
          <w:sz w:val="24"/>
        </w:rPr>
        <w:t xml:space="preserve"> </w:t>
      </w:r>
      <w:r w:rsidRPr="00017398">
        <w:rPr>
          <w:rFonts w:asciiTheme="majorBidi" w:hAnsiTheme="majorBidi" w:cstheme="majorBidi"/>
          <w:sz w:val="24"/>
          <w:szCs w:val="24"/>
        </w:rPr>
        <w:t>estimated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glomerular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filtration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rate</w:t>
      </w:r>
      <w:r>
        <w:rPr>
          <w:rFonts w:asciiTheme="majorBidi" w:hAnsiTheme="majorBidi"/>
          <w:sz w:val="24"/>
        </w:rPr>
        <w:t xml:space="preserve">; </w:t>
      </w:r>
      <w:r w:rsidRPr="00954E6A">
        <w:rPr>
          <w:rFonts w:asciiTheme="majorBidi" w:hAnsiTheme="majorBidi"/>
          <w:sz w:val="24"/>
        </w:rPr>
        <w:t>NB</w:t>
      </w:r>
      <w:r>
        <w:rPr>
          <w:rFonts w:asciiTheme="majorBidi" w:hAnsiTheme="majorBidi"/>
          <w:sz w:val="24"/>
        </w:rPr>
        <w:t xml:space="preserve"> e</w:t>
      </w:r>
      <w:r w:rsidRPr="00954E6A">
        <w:rPr>
          <w:rFonts w:asciiTheme="majorBidi" w:hAnsiTheme="majorBidi"/>
          <w:sz w:val="24"/>
        </w:rPr>
        <w:t>GFR,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new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baseline</w:t>
      </w:r>
      <w:r>
        <w:rPr>
          <w:rFonts w:asciiTheme="majorBidi" w:hAnsiTheme="majorBidi"/>
          <w:sz w:val="24"/>
        </w:rPr>
        <w:t xml:space="preserve"> </w:t>
      </w:r>
      <w:r w:rsidRPr="00017398">
        <w:rPr>
          <w:rFonts w:asciiTheme="majorBidi" w:hAnsiTheme="majorBidi" w:cstheme="majorBidi"/>
          <w:sz w:val="24"/>
          <w:szCs w:val="24"/>
        </w:rPr>
        <w:t>estimated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glomerular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filtration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rate;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PADUA,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preoperative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aspects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and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dimensions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used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for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an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anatomical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classification;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PPPM,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percent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of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preserved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parenchymal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mass;</w:t>
      </w:r>
      <w:r>
        <w:rPr>
          <w:rFonts w:asciiTheme="majorBidi" w:hAnsiTheme="majorBidi"/>
          <w:sz w:val="24"/>
        </w:rPr>
        <w:t xml:space="preserve"> </w:t>
      </w:r>
      <w:r w:rsidRPr="00954E6A">
        <w:rPr>
          <w:rFonts w:asciiTheme="majorBidi" w:hAnsiTheme="majorBidi"/>
          <w:sz w:val="24"/>
        </w:rPr>
        <w:t>QE</w:t>
      </w:r>
      <w:r>
        <w:rPr>
          <w:rFonts w:asciiTheme="majorBidi" w:hAnsiTheme="majorBidi"/>
          <w:sz w:val="24"/>
        </w:rPr>
        <w:t xml:space="preserve">, </w:t>
      </w:r>
      <w:r w:rsidRPr="00694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quantitative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94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estimation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FE9" w:rsidRDefault="00F75FE9"/>
    <w:sectPr w:rsidR="00F75FE9" w:rsidSect="00A15D9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1725CA"/>
    <w:rsid w:val="001725CA"/>
    <w:rsid w:val="009627BB"/>
    <w:rsid w:val="00A15D97"/>
    <w:rsid w:val="00F7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725C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2023-09-27T01:26:00Z</dcterms:created>
  <dcterms:modified xsi:type="dcterms:W3CDTF">2023-09-27T01:27:00Z</dcterms:modified>
</cp:coreProperties>
</file>