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885BD8" w14:textId="77777777" w:rsidR="007023A7" w:rsidRDefault="007023A7" w:rsidP="007023A7">
      <w:pPr>
        <w:rPr>
          <w:rFonts w:ascii="Arial" w:hAnsi="Arial" w:cs="Arial"/>
          <w:color w:val="000000"/>
          <w:sz w:val="20"/>
          <w:szCs w:val="20"/>
        </w:rPr>
      </w:pPr>
    </w:p>
    <w:p w14:paraId="45386A86" w14:textId="77777777" w:rsidR="007023A7" w:rsidRDefault="007023A7" w:rsidP="007023A7">
      <w:pPr>
        <w:spacing w:line="48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noProof/>
          <w:color w:val="000000"/>
          <w:sz w:val="20"/>
          <w:szCs w:val="20"/>
        </w:rPr>
        <w:drawing>
          <wp:inline distT="0" distB="0" distL="0" distR="0" wp14:anchorId="1E7B0156" wp14:editId="6FEF06E6">
            <wp:extent cx="5274310" cy="284734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47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5B76AA" w14:textId="77777777" w:rsidR="007023A7" w:rsidRDefault="007023A7" w:rsidP="007023A7">
      <w:pPr>
        <w:spacing w:line="48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 w:hint="eastAsia"/>
          <w:b/>
          <w:bCs/>
          <w:color w:val="000000"/>
          <w:sz w:val="20"/>
          <w:szCs w:val="20"/>
        </w:rPr>
        <w:t>Supplementary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 Figure 3. The expression levels of miR-409-3p, miR-214-5p, RAB10 and E2F2.</w:t>
      </w:r>
      <w:r>
        <w:rPr>
          <w:rFonts w:ascii="Arial" w:hAnsi="Arial" w:cs="Arial"/>
          <w:color w:val="000000"/>
          <w:sz w:val="20"/>
          <w:szCs w:val="20"/>
        </w:rPr>
        <w:t xml:space="preserve"> Relative miR-409-3p expression levels were detected utilizing qRT-PCR in hepatic tissues (</w:t>
      </w:r>
      <w:r>
        <w:rPr>
          <w:rFonts w:ascii="Arial" w:hAnsi="Arial" w:cs="Arial"/>
          <w:b/>
          <w:bCs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, n=5 per group), PBMC samples (</w:t>
      </w:r>
      <w:r>
        <w:rPr>
          <w:rFonts w:ascii="Arial" w:hAnsi="Arial" w:cs="Arial"/>
          <w:b/>
          <w:bCs/>
          <w:color w:val="000000"/>
          <w:sz w:val="20"/>
          <w:szCs w:val="20"/>
        </w:rPr>
        <w:t>B</w:t>
      </w:r>
      <w:r>
        <w:rPr>
          <w:rFonts w:ascii="Arial" w:hAnsi="Arial" w:cs="Arial"/>
          <w:color w:val="000000"/>
          <w:sz w:val="20"/>
          <w:szCs w:val="20"/>
        </w:rPr>
        <w:t>, n=20 per group) and. HCC</w:t>
      </w:r>
      <w:r>
        <w:rPr>
          <w:rFonts w:ascii="Arial" w:hAnsi="Arial" w:cs="Arial" w:hint="eastAsia"/>
          <w:color w:val="000000"/>
          <w:sz w:val="20"/>
          <w:szCs w:val="20"/>
        </w:rPr>
        <w:t xml:space="preserve"> c</w:t>
      </w:r>
      <w:r>
        <w:rPr>
          <w:rFonts w:ascii="Arial" w:hAnsi="Arial" w:cs="Arial"/>
          <w:color w:val="000000"/>
          <w:sz w:val="20"/>
          <w:szCs w:val="20"/>
        </w:rPr>
        <w:t>ells (</w:t>
      </w:r>
      <w:r>
        <w:rPr>
          <w:rFonts w:ascii="Arial" w:hAnsi="Arial" w:cs="Arial"/>
          <w:b/>
          <w:bCs/>
          <w:color w:val="000000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). (</w:t>
      </w:r>
      <w:r>
        <w:rPr>
          <w:rFonts w:ascii="Arial" w:hAnsi="Arial" w:cs="Arial"/>
          <w:b/>
          <w:bCs/>
          <w:color w:val="000000"/>
          <w:sz w:val="20"/>
          <w:szCs w:val="20"/>
        </w:rPr>
        <w:t>D</w:t>
      </w:r>
      <w:r>
        <w:rPr>
          <w:rFonts w:ascii="Arial" w:hAnsi="Arial" w:cs="Arial"/>
          <w:color w:val="000000"/>
          <w:sz w:val="20"/>
          <w:szCs w:val="20"/>
        </w:rPr>
        <w:t>) qRT-PCR was utilized to analyze RAB10 after introduction of Si-LINC00886+miR-NC, pcDNA3.1-LINC00886+miR-NC, Si-LINC00886+miR-409-3p inhibitors or pcDNA3.1-LINC00886+miR-409-3p mimics into HCC cells. Relative miR-214-5p expression levels were detected utilizing qRT-PCR in hepatic tissues (</w:t>
      </w:r>
      <w:r>
        <w:rPr>
          <w:rFonts w:ascii="Arial" w:hAnsi="Arial" w:cs="Arial"/>
          <w:b/>
          <w:bCs/>
          <w:color w:val="000000"/>
          <w:sz w:val="20"/>
          <w:szCs w:val="20"/>
        </w:rPr>
        <w:t>E,</w:t>
      </w:r>
      <w:r>
        <w:rPr>
          <w:rFonts w:ascii="Arial" w:hAnsi="Arial" w:cs="Arial"/>
          <w:color w:val="000000"/>
          <w:sz w:val="20"/>
          <w:szCs w:val="20"/>
        </w:rPr>
        <w:t xml:space="preserve"> n=5 per group), PBMC samples (</w:t>
      </w:r>
      <w:r>
        <w:rPr>
          <w:rFonts w:ascii="Arial" w:hAnsi="Arial" w:cs="Arial"/>
          <w:b/>
          <w:bCs/>
          <w:color w:val="000000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>, n=20 per group) and. HCC</w:t>
      </w:r>
      <w:r>
        <w:rPr>
          <w:rFonts w:ascii="Arial" w:hAnsi="Arial" w:cs="Arial" w:hint="eastAsia"/>
          <w:color w:val="000000"/>
          <w:sz w:val="20"/>
          <w:szCs w:val="20"/>
        </w:rPr>
        <w:t xml:space="preserve"> c</w:t>
      </w:r>
      <w:r>
        <w:rPr>
          <w:rFonts w:ascii="Arial" w:hAnsi="Arial" w:cs="Arial"/>
          <w:color w:val="000000"/>
          <w:sz w:val="20"/>
          <w:szCs w:val="20"/>
        </w:rPr>
        <w:t>ells (</w:t>
      </w:r>
      <w:r>
        <w:rPr>
          <w:rFonts w:ascii="Arial" w:hAnsi="Arial" w:cs="Arial"/>
          <w:b/>
          <w:bCs/>
          <w:color w:val="000000"/>
          <w:sz w:val="20"/>
          <w:szCs w:val="20"/>
        </w:rPr>
        <w:t>G</w:t>
      </w:r>
      <w:r>
        <w:rPr>
          <w:rFonts w:ascii="Arial" w:hAnsi="Arial" w:cs="Arial"/>
          <w:color w:val="000000"/>
          <w:sz w:val="20"/>
          <w:szCs w:val="20"/>
        </w:rPr>
        <w:t>). (</w:t>
      </w:r>
      <w:r>
        <w:rPr>
          <w:rFonts w:ascii="Arial" w:hAnsi="Arial" w:cs="Arial"/>
          <w:b/>
          <w:bCs/>
          <w:color w:val="000000"/>
          <w:sz w:val="20"/>
          <w:szCs w:val="20"/>
        </w:rPr>
        <w:t>H</w:t>
      </w:r>
      <w:r>
        <w:rPr>
          <w:rFonts w:ascii="Arial" w:hAnsi="Arial" w:cs="Arial"/>
          <w:color w:val="000000"/>
          <w:sz w:val="20"/>
          <w:szCs w:val="20"/>
        </w:rPr>
        <w:t xml:space="preserve">) qRT-PCR was utilized to analyze E2F2 after introduction of Si-LINC00886+miR-NC, pcDNA3.1-LINC00886+miR-NC, Si-LINC00886+ miR-214-5p inhibitors or pcDNA3.1-LINC00886+ miR-214-5p mimics into HCC cells. </w:t>
      </w:r>
      <w:r>
        <w:rPr>
          <w:rFonts w:ascii="Arial" w:eastAsia="DengXian" w:hAnsi="Arial" w:cs="Arial"/>
          <w:color w:val="000000"/>
          <w:kern w:val="0"/>
          <w:sz w:val="20"/>
          <w:szCs w:val="20"/>
        </w:rPr>
        <w:t>*</w:t>
      </w:r>
      <w:r>
        <w:rPr>
          <w:rFonts w:ascii="Arial" w:eastAsia="DengXian" w:hAnsi="Arial" w:cs="Arial"/>
          <w:i/>
          <w:iCs/>
          <w:color w:val="000000"/>
          <w:kern w:val="0"/>
          <w:sz w:val="20"/>
          <w:szCs w:val="20"/>
        </w:rPr>
        <w:t>P</w:t>
      </w:r>
      <w:r>
        <w:rPr>
          <w:rFonts w:ascii="Arial" w:eastAsia="DengXian" w:hAnsi="Arial" w:cs="Arial"/>
          <w:color w:val="000000"/>
          <w:kern w:val="0"/>
          <w:sz w:val="20"/>
          <w:szCs w:val="20"/>
        </w:rPr>
        <w:t>&lt;0.05, **</w:t>
      </w:r>
      <w:r>
        <w:rPr>
          <w:rFonts w:ascii="Arial" w:eastAsia="DengXian" w:hAnsi="Arial" w:cs="Arial"/>
          <w:i/>
          <w:iCs/>
          <w:color w:val="000000"/>
          <w:kern w:val="0"/>
          <w:sz w:val="20"/>
          <w:szCs w:val="20"/>
        </w:rPr>
        <w:t>P</w:t>
      </w:r>
      <w:r>
        <w:rPr>
          <w:rFonts w:ascii="Arial" w:eastAsia="DengXian" w:hAnsi="Arial" w:cs="Arial"/>
          <w:color w:val="000000"/>
          <w:kern w:val="0"/>
          <w:sz w:val="20"/>
          <w:szCs w:val="20"/>
        </w:rPr>
        <w:t>&lt;0.01, ***</w:t>
      </w:r>
      <w:r>
        <w:rPr>
          <w:rFonts w:ascii="Arial" w:eastAsia="DengXian" w:hAnsi="Arial" w:cs="Arial"/>
          <w:i/>
          <w:iCs/>
          <w:color w:val="000000"/>
          <w:kern w:val="0"/>
          <w:sz w:val="20"/>
          <w:szCs w:val="20"/>
        </w:rPr>
        <w:t>P</w:t>
      </w:r>
      <w:r>
        <w:rPr>
          <w:rFonts w:ascii="Arial" w:eastAsia="DengXian" w:hAnsi="Arial" w:cs="Arial"/>
          <w:color w:val="000000"/>
          <w:kern w:val="0"/>
          <w:sz w:val="20"/>
          <w:szCs w:val="20"/>
        </w:rPr>
        <w:t>&lt;0.001, ****</w:t>
      </w:r>
      <w:r>
        <w:rPr>
          <w:rFonts w:ascii="Arial" w:eastAsia="DengXian" w:hAnsi="Arial" w:cs="Arial"/>
          <w:i/>
          <w:iCs/>
          <w:color w:val="000000"/>
          <w:kern w:val="0"/>
          <w:sz w:val="20"/>
          <w:szCs w:val="20"/>
        </w:rPr>
        <w:t>P</w:t>
      </w:r>
      <w:r>
        <w:rPr>
          <w:rFonts w:ascii="Arial" w:eastAsia="DengXian" w:hAnsi="Arial" w:cs="Arial"/>
          <w:color w:val="000000"/>
          <w:kern w:val="0"/>
          <w:sz w:val="20"/>
          <w:szCs w:val="20"/>
        </w:rPr>
        <w:t>&lt;0.0001</w:t>
      </w:r>
      <w:r>
        <w:rPr>
          <w:rFonts w:ascii="Arial" w:hAnsi="Arial" w:cs="Arial"/>
          <w:color w:val="000000"/>
          <w:sz w:val="20"/>
          <w:szCs w:val="20"/>
        </w:rPr>
        <w:t>. HCC, hepatocellular carcinoma; LC, liver cirrhosis; PBMC, peripheral blood mononuclear cell; qRT-PCR, quantitative reverse-transcriptase polymerase chain reaction.</w:t>
      </w:r>
    </w:p>
    <w:p w14:paraId="6FE42562" w14:textId="77777777" w:rsidR="007023A7" w:rsidRDefault="007023A7" w:rsidP="007023A7">
      <w:pPr>
        <w:spacing w:line="480" w:lineRule="auto"/>
        <w:rPr>
          <w:rFonts w:ascii="Arial" w:hAnsi="Arial" w:cs="Arial"/>
          <w:color w:val="000000"/>
          <w:sz w:val="20"/>
          <w:szCs w:val="20"/>
        </w:rPr>
      </w:pPr>
    </w:p>
    <w:p w14:paraId="3ACA6ACE" w14:textId="77777777" w:rsidR="00B15391" w:rsidRDefault="00B15391"/>
    <w:sectPr w:rsidR="00B15391" w:rsidSect="007023A7">
      <w:footerReference w:type="even" r:id="rId7"/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B050FD" w14:textId="77777777" w:rsidR="005206BB" w:rsidRDefault="005206BB" w:rsidP="007023A7">
      <w:pPr>
        <w:spacing w:after="0" w:line="240" w:lineRule="auto"/>
      </w:pPr>
      <w:r>
        <w:separator/>
      </w:r>
    </w:p>
  </w:endnote>
  <w:endnote w:type="continuationSeparator" w:id="0">
    <w:p w14:paraId="6215E45A" w14:textId="77777777" w:rsidR="005206BB" w:rsidRDefault="005206BB" w:rsidP="007023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|??¡§?????¡ì????¡ì???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Rockwell">
    <w:panose1 w:val="02060603020205020403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751496327"/>
      <w:docPartObj>
        <w:docPartGallery w:val="AutoText"/>
      </w:docPartObj>
    </w:sdtPr>
    <w:sdtContent>
      <w:p w14:paraId="013DB1D9" w14:textId="77777777" w:rsidR="00000000" w:rsidRDefault="00000000">
        <w:pPr>
          <w:pStyle w:val="Footer"/>
          <w:framePr w:wrap="auto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</w:rPr>
          <w:t>3</w:t>
        </w:r>
        <w:r>
          <w:rPr>
            <w:rStyle w:val="PageNumber"/>
          </w:rPr>
          <w:fldChar w:fldCharType="end"/>
        </w:r>
      </w:p>
    </w:sdtContent>
  </w:sdt>
  <w:p w14:paraId="36DC8229" w14:textId="77777777" w:rsidR="00000000" w:rsidRDefault="000000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C836F6" w14:textId="77777777" w:rsidR="00000000" w:rsidRDefault="00000000">
    <w:pPr>
      <w:pStyle w:val="Footer"/>
      <w:framePr w:wrap="auto" w:vAnchor="text" w:hAnchor="margin" w:xAlign="center" w:y="1"/>
      <w:rPr>
        <w:rStyle w:val="PageNumber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5BF05818" wp14:editId="2E706DEE">
              <wp:simplePos x="0" y="0"/>
              <wp:positionH relativeFrom="page">
                <wp:posOffset>0</wp:posOffset>
              </wp:positionH>
              <wp:positionV relativeFrom="page">
                <wp:posOffset>10237470</wp:posOffset>
              </wp:positionV>
              <wp:extent cx="7560310" cy="263525"/>
              <wp:effectExtent l="0" t="0" r="0" b="3175"/>
              <wp:wrapNone/>
              <wp:docPr id="2" name="MSIPCM180046a1be4b9c10725b2e41" descr="{&quot;HashCode&quot;:-1348403003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35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FE88A69" w14:textId="77777777" w:rsidR="00000000" w:rsidRDefault="00000000">
                          <w:pPr>
                            <w:rPr>
                              <w:rFonts w:ascii="Rockwell" w:hAnsi="Rockwell"/>
                              <w:color w:val="0078D7"/>
                              <w:sz w:val="18"/>
                            </w:rPr>
                          </w:pPr>
                          <w:r>
                            <w:rPr>
                              <w:rFonts w:ascii="Rockwell" w:hAnsi="Rockwell"/>
                              <w:color w:val="0078D7"/>
                              <w:sz w:val="18"/>
                            </w:rPr>
                            <w:t>Information Classification: General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BF05818" id="_x0000_t202" coordsize="21600,21600" o:spt="202" path="m,l,21600r21600,l21600,xe">
              <v:stroke joinstyle="miter"/>
              <v:path gradientshapeok="t" o:connecttype="rect"/>
            </v:shapetype>
            <v:shape id="MSIPCM180046a1be4b9c10725b2e41" o:spid="_x0000_s1026" type="#_x0000_t202" alt="{&quot;HashCode&quot;:-1348403003,&quot;Height&quot;:841.0,&quot;Width&quot;:595.0,&quot;Placement&quot;:&quot;Footer&quot;,&quot;Index&quot;:&quot;Primary&quot;,&quot;Section&quot;:1,&quot;Top&quot;:0.0,&quot;Left&quot;:0.0}" style="position:absolute;margin-left:0;margin-top:806.1pt;width:595.3pt;height:20.7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" o:allowincell="f" filled="f" stroked="f" strokeweight=".5pt">
              <v:textbox inset="20pt,0,,0">
                <w:txbxContent>
                  <w:p w14:paraId="3FE88A69" w14:textId="77777777" w:rsidR="00000000" w:rsidRDefault="00000000">
                    <w:pPr>
                      <w:rPr>
                        <w:rFonts w:ascii="Rockwell" w:hAnsi="Rockwell"/>
                        <w:color w:val="0078D7"/>
                        <w:sz w:val="18"/>
                      </w:rPr>
                    </w:pPr>
                    <w:r>
                      <w:rPr>
                        <w:rFonts w:ascii="Rockwell" w:hAnsi="Rockwell"/>
                        <w:color w:val="0078D7"/>
                        <w:sz w:val="18"/>
                      </w:rPr>
                      <w:t>Information Classification: General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sdt>
      <w:sdtPr>
        <w:rPr>
          <w:rStyle w:val="PageNumber"/>
        </w:rPr>
        <w:id w:val="157273655"/>
        <w:docPartObj>
          <w:docPartGallery w:val="AutoText"/>
        </w:docPartObj>
      </w:sdtPr>
      <w:sdtContent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</w:rPr>
          <w:t>1</w:t>
        </w:r>
        <w:r>
          <w:rPr>
            <w:rStyle w:val="PageNumber"/>
          </w:rPr>
          <w:fldChar w:fldCharType="end"/>
        </w:r>
      </w:sdtContent>
    </w:sdt>
  </w:p>
  <w:p w14:paraId="3BF131D7" w14:textId="77777777" w:rsidR="00000000" w:rsidRDefault="000000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74F5B3" w14:textId="77777777" w:rsidR="005206BB" w:rsidRDefault="005206BB" w:rsidP="007023A7">
      <w:pPr>
        <w:spacing w:after="0" w:line="240" w:lineRule="auto"/>
      </w:pPr>
      <w:r>
        <w:separator/>
      </w:r>
    </w:p>
  </w:footnote>
  <w:footnote w:type="continuationSeparator" w:id="0">
    <w:p w14:paraId="2D7E30AC" w14:textId="77777777" w:rsidR="005206BB" w:rsidRDefault="005206BB" w:rsidP="007023A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5391"/>
    <w:rsid w:val="005206BB"/>
    <w:rsid w:val="006E7BA2"/>
    <w:rsid w:val="007023A7"/>
    <w:rsid w:val="00B15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343A1612-E0F4-483E-999E-9C0B1B753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1539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153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1539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1539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1539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1539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1539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1539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1539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53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153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1539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15391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15391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1539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1539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1539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1539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1539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153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1539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1539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153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1539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1539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15391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153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15391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15391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7023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23A7"/>
  </w:style>
  <w:style w:type="paragraph" w:styleId="Footer">
    <w:name w:val="footer"/>
    <w:basedOn w:val="Normal"/>
    <w:link w:val="FooterChar"/>
    <w:uiPriority w:val="99"/>
    <w:unhideWhenUsed/>
    <w:qFormat/>
    <w:rsid w:val="007023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qFormat/>
    <w:rsid w:val="007023A7"/>
  </w:style>
  <w:style w:type="character" w:styleId="PageNumber">
    <w:name w:val="page number"/>
    <w:basedOn w:val="DefaultParagraphFont"/>
    <w:uiPriority w:val="99"/>
    <w:semiHidden/>
    <w:unhideWhenUsed/>
    <w:qFormat/>
    <w:rsid w:val="007023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154</Words>
  <Characters>880</Characters>
  <Application>Microsoft Office Word</Application>
  <DocSecurity>0</DocSecurity>
  <Lines>7</Lines>
  <Paragraphs>2</Paragraphs>
  <ScaleCrop>false</ScaleCrop>
  <Company/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2025-03-06T02:37:00Z</dcterms:created>
  <dcterms:modified xsi:type="dcterms:W3CDTF">2025-03-06T02:37:00Z</dcterms:modified>
</cp:coreProperties>
</file>