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EC751" w14:textId="77777777" w:rsidR="00072EF9" w:rsidRPr="00A7617C" w:rsidRDefault="00072EF9" w:rsidP="00072EF9">
      <w:pPr>
        <w:keepNext/>
        <w:pageBreakBefore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7617C"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  <w:r w:rsidRPr="00A7617C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A7617C">
        <w:rPr>
          <w:rFonts w:ascii="Times New Roman" w:hAnsi="Times New Roman" w:cs="Times New Roman"/>
          <w:b/>
          <w:bCs/>
          <w:sz w:val="24"/>
          <w:szCs w:val="24"/>
        </w:rPr>
        <w:t xml:space="preserve"> 1. Summary of data sources, cohorts, sample sizes, eligibility criteria, and analytical outputs</w:t>
      </w:r>
    </w:p>
    <w:tbl>
      <w:tblPr>
        <w:tblW w:w="14780" w:type="dxa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1650"/>
        <w:gridCol w:w="2020"/>
        <w:gridCol w:w="1460"/>
        <w:gridCol w:w="3900"/>
        <w:gridCol w:w="3800"/>
      </w:tblGrid>
      <w:tr w:rsidR="00072EF9" w14:paraId="36920402" w14:textId="77777777" w:rsidTr="000316AC">
        <w:trPr>
          <w:cantSplit/>
          <w:tblHeader/>
        </w:trPr>
        <w:tc>
          <w:tcPr>
            <w:tcW w:w="1950" w:type="dxa"/>
            <w:tcBorders>
              <w:bottom w:val="single" w:sz="8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5141F8" w14:textId="77777777" w:rsidR="00072EF9" w:rsidRDefault="00072EF9" w:rsidP="000316AC">
            <w:pPr>
              <w:widowControl/>
              <w:spacing w:line="260" w:lineRule="auto"/>
              <w:jc w:val="left"/>
              <w:textAlignment w:val="center"/>
              <w:rPr>
                <w:rFonts w:ascii="Times New Roman Regular" w:eastAsia="Carlito" w:hAnsi="Times New Roman Regular" w:cs="Times New Roman Regular"/>
                <w:b/>
                <w:bCs/>
                <w:color w:val="1F1F1F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b/>
                <w:bCs/>
                <w:color w:val="1F1F1F"/>
                <w:kern w:val="0"/>
                <w:sz w:val="18"/>
                <w:szCs w:val="18"/>
                <w:lang w:bidi="ar"/>
              </w:rPr>
              <w:t>Analysis module</w:t>
            </w:r>
          </w:p>
        </w:tc>
        <w:tc>
          <w:tcPr>
            <w:tcW w:w="1650" w:type="dxa"/>
            <w:tcBorders>
              <w:bottom w:val="single" w:sz="8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5CB53C" w14:textId="77777777" w:rsidR="00072EF9" w:rsidRDefault="00072EF9" w:rsidP="000316AC">
            <w:pPr>
              <w:widowControl/>
              <w:spacing w:line="260" w:lineRule="auto"/>
              <w:jc w:val="left"/>
              <w:textAlignment w:val="center"/>
              <w:rPr>
                <w:rFonts w:ascii="Times New Roman Regular" w:eastAsia="Carlito" w:hAnsi="Times New Roman Regular" w:cs="Times New Roman Regular"/>
                <w:b/>
                <w:bCs/>
                <w:color w:val="1F1F1F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b/>
                <w:bCs/>
                <w:color w:val="1F1F1F"/>
                <w:kern w:val="0"/>
                <w:sz w:val="18"/>
                <w:szCs w:val="18"/>
                <w:lang w:bidi="ar"/>
              </w:rPr>
              <w:t>Database / platform</w:t>
            </w:r>
          </w:p>
        </w:tc>
        <w:tc>
          <w:tcPr>
            <w:tcW w:w="2020" w:type="dxa"/>
            <w:tcBorders>
              <w:bottom w:val="single" w:sz="8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A1BF72" w14:textId="77777777" w:rsidR="00072EF9" w:rsidRDefault="00072EF9" w:rsidP="000316AC">
            <w:pPr>
              <w:widowControl/>
              <w:spacing w:line="260" w:lineRule="auto"/>
              <w:jc w:val="left"/>
              <w:textAlignment w:val="center"/>
              <w:rPr>
                <w:rFonts w:ascii="Times New Roman Regular" w:eastAsia="Carlito" w:hAnsi="Times New Roman Regular" w:cs="Times New Roman Regular"/>
                <w:b/>
                <w:bCs/>
                <w:color w:val="1F1F1F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b/>
                <w:bCs/>
                <w:color w:val="1F1F1F"/>
                <w:kern w:val="0"/>
                <w:sz w:val="18"/>
                <w:szCs w:val="18"/>
                <w:lang w:bidi="ar"/>
              </w:rPr>
              <w:t>Cohort / cancer scope</w:t>
            </w:r>
          </w:p>
        </w:tc>
        <w:tc>
          <w:tcPr>
            <w:tcW w:w="1460" w:type="dxa"/>
            <w:tcBorders>
              <w:bottom w:val="single" w:sz="8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3A73F8" w14:textId="77777777" w:rsidR="00072EF9" w:rsidRDefault="00072EF9" w:rsidP="000316AC">
            <w:pPr>
              <w:widowControl/>
              <w:spacing w:line="260" w:lineRule="auto"/>
              <w:jc w:val="left"/>
              <w:textAlignment w:val="center"/>
              <w:rPr>
                <w:rFonts w:ascii="Times New Roman Regular" w:eastAsia="Carlito" w:hAnsi="Times New Roman Regular" w:cs="Times New Roman Regular"/>
                <w:b/>
                <w:bCs/>
                <w:color w:val="1F1F1F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b/>
                <w:bCs/>
                <w:color w:val="1F1F1F"/>
                <w:kern w:val="0"/>
                <w:sz w:val="18"/>
                <w:szCs w:val="18"/>
                <w:lang w:bidi="ar"/>
              </w:rPr>
              <w:t>Sample size</w:t>
            </w:r>
          </w:p>
        </w:tc>
        <w:tc>
          <w:tcPr>
            <w:tcW w:w="3900" w:type="dxa"/>
            <w:tcBorders>
              <w:bottom w:val="single" w:sz="8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7FDF2A" w14:textId="77777777" w:rsidR="00072EF9" w:rsidRDefault="00072EF9" w:rsidP="000316AC">
            <w:pPr>
              <w:widowControl/>
              <w:spacing w:line="260" w:lineRule="auto"/>
              <w:jc w:val="left"/>
              <w:textAlignment w:val="center"/>
              <w:rPr>
                <w:rFonts w:ascii="Times New Roman Regular" w:eastAsia="Carlito" w:hAnsi="Times New Roman Regular" w:cs="Times New Roman Regular"/>
                <w:b/>
                <w:bCs/>
                <w:color w:val="1F1F1F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b/>
                <w:bCs/>
                <w:color w:val="1F1F1F"/>
                <w:kern w:val="0"/>
                <w:sz w:val="18"/>
                <w:szCs w:val="18"/>
                <w:lang w:bidi="ar"/>
              </w:rPr>
              <w:t>Eligibility / preprocessing</w:t>
            </w:r>
          </w:p>
        </w:tc>
        <w:tc>
          <w:tcPr>
            <w:tcW w:w="3800" w:type="dxa"/>
            <w:tcBorders>
              <w:bottom w:val="single" w:sz="8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A12193" w14:textId="77777777" w:rsidR="00072EF9" w:rsidRDefault="00072EF9" w:rsidP="000316AC">
            <w:pPr>
              <w:widowControl/>
              <w:spacing w:line="260" w:lineRule="auto"/>
              <w:jc w:val="left"/>
              <w:textAlignment w:val="center"/>
              <w:rPr>
                <w:rFonts w:ascii="Times New Roman Regular" w:eastAsia="Carlito" w:hAnsi="Times New Roman Regular" w:cs="Times New Roman Regular"/>
                <w:b/>
                <w:bCs/>
                <w:color w:val="1F1F1F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b/>
                <w:bCs/>
                <w:color w:val="1F1F1F"/>
                <w:kern w:val="0"/>
                <w:sz w:val="18"/>
                <w:szCs w:val="18"/>
                <w:lang w:bidi="ar"/>
              </w:rPr>
              <w:t>Main analysis / output</w:t>
            </w:r>
          </w:p>
        </w:tc>
      </w:tr>
      <w:tr w:rsidR="00072EF9" w14:paraId="5B3D26E5" w14:textId="77777777" w:rsidTr="000316AC">
        <w:trPr>
          <w:cantSplit/>
        </w:trPr>
        <w:tc>
          <w:tcPr>
            <w:tcW w:w="19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AB08118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Normal-tissue </w:t>
            </w:r>
            <w:r>
              <w:rPr>
                <w:rFonts w:ascii="Times New Roman" w:eastAsia="Carlito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NAT10</w:t>
            </w: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expression</w:t>
            </w:r>
          </w:p>
        </w:tc>
        <w:tc>
          <w:tcPr>
            <w:tcW w:w="16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552A53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HPA</w:t>
            </w:r>
          </w:p>
        </w:tc>
        <w:tc>
          <w:tcPr>
            <w:tcW w:w="202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4552E5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Normal human tissues</w:t>
            </w:r>
          </w:p>
        </w:tc>
        <w:tc>
          <w:tcPr>
            <w:tcW w:w="14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8A037F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Platform-dependent</w:t>
            </w:r>
          </w:p>
        </w:tc>
        <w:tc>
          <w:tcPr>
            <w:tcW w:w="3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DB4DB01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Available HPA normal-tissue expression data and representative images</w:t>
            </w:r>
          </w:p>
        </w:tc>
        <w:tc>
          <w:tcPr>
            <w:tcW w:w="38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429438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Normal-tissue expression profile; qualitative IHC/IF visualization</w:t>
            </w:r>
          </w:p>
        </w:tc>
      </w:tr>
      <w:tr w:rsidR="00072EF9" w14:paraId="6F3398BC" w14:textId="77777777" w:rsidTr="000316AC">
        <w:trPr>
          <w:cantSplit/>
        </w:trPr>
        <w:tc>
          <w:tcPr>
            <w:tcW w:w="19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0A1773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Tumor-versus-normal </w:t>
            </w:r>
            <w:r>
              <w:rPr>
                <w:rFonts w:ascii="Times New Roman" w:eastAsia="Carlito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NAT10</w:t>
            </w: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expression</w:t>
            </w:r>
          </w:p>
        </w:tc>
        <w:tc>
          <w:tcPr>
            <w:tcW w:w="16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328513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TCGA, GTEx, TIMER2.0</w:t>
            </w:r>
          </w:p>
        </w:tc>
        <w:tc>
          <w:tcPr>
            <w:tcW w:w="202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27EBC5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Pan-cancer</w:t>
            </w:r>
          </w:p>
        </w:tc>
        <w:tc>
          <w:tcPr>
            <w:tcW w:w="14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8C8B15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Not uniformly reported</w:t>
            </w:r>
          </w:p>
        </w:tc>
        <w:tc>
          <w:tcPr>
            <w:tcW w:w="3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7C0660B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Available TCGA/GTEx expression data; TCGA-GTEx comparisons treated as non-matched cross-dataset comparisons</w:t>
            </w:r>
          </w:p>
        </w:tc>
        <w:tc>
          <w:tcPr>
            <w:tcW w:w="38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177D6E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Tumor-versus-normal </w:t>
            </w:r>
            <w:r>
              <w:rPr>
                <w:rFonts w:ascii="Times New Roman" w:eastAsia="Carlito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NAT10</w:t>
            </w: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expression comparisons</w:t>
            </w:r>
          </w:p>
        </w:tc>
      </w:tr>
      <w:tr w:rsidR="00072EF9" w14:paraId="4A417819" w14:textId="77777777" w:rsidTr="000316AC">
        <w:trPr>
          <w:cantSplit/>
        </w:trPr>
        <w:tc>
          <w:tcPr>
            <w:tcW w:w="19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7751D8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Pathological-stage analysis (GEPIA2)</w:t>
            </w:r>
          </w:p>
        </w:tc>
        <w:tc>
          <w:tcPr>
            <w:tcW w:w="16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8B9486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GEPIA2</w:t>
            </w:r>
          </w:p>
        </w:tc>
        <w:tc>
          <w:tcPr>
            <w:tcW w:w="202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CDB657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KIRP, LIHC, LUAD, PAAD</w:t>
            </w:r>
          </w:p>
        </w:tc>
        <w:tc>
          <w:tcPr>
            <w:tcW w:w="14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D90364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Platform-derived</w:t>
            </w:r>
          </w:p>
        </w:tc>
        <w:tc>
          <w:tcPr>
            <w:tcW w:w="3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6400B9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Stage-annotated TCGA samples available in GEPIA2</w:t>
            </w:r>
          </w:p>
        </w:tc>
        <w:tc>
          <w:tcPr>
            <w:tcW w:w="38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7C9A8A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NAT10</w:t>
            </w: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expression comparison across pathological stages</w:t>
            </w:r>
          </w:p>
        </w:tc>
      </w:tr>
      <w:tr w:rsidR="00072EF9" w14:paraId="2EEB22C1" w14:textId="77777777" w:rsidTr="000316AC">
        <w:trPr>
          <w:cantSplit/>
        </w:trPr>
        <w:tc>
          <w:tcPr>
            <w:tcW w:w="19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A93A5D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Pan-cancer pathological-stage analysis</w:t>
            </w:r>
          </w:p>
        </w:tc>
        <w:tc>
          <w:tcPr>
            <w:tcW w:w="16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30CF1D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UCSC Xena; TCGA TARGET GTEx</w:t>
            </w:r>
          </w:p>
        </w:tc>
        <w:tc>
          <w:tcPr>
            <w:tcW w:w="202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865065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 cancer cohorts after filtering</w:t>
            </w:r>
          </w:p>
        </w:tc>
        <w:tc>
          <w:tcPr>
            <w:tcW w:w="14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5C709C3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Initial dataset </w:t>
            </w:r>
            <w:r>
              <w:rPr>
                <w:rFonts w:ascii="Times New Roman" w:eastAsia="Carlito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N </w:t>
            </w: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= 19,131</w:t>
            </w:r>
          </w:p>
        </w:tc>
        <w:tc>
          <w:tcPr>
            <w:tcW w:w="3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CE33DD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 w:rsidRPr="008C0855"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Expression values were obtained as log2(TPM + 0.001) without additional transformation; cancer cohorts with fewer than three available samples were excluded.</w:t>
            </w:r>
          </w:p>
        </w:tc>
        <w:tc>
          <w:tcPr>
            <w:tcW w:w="38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4A87DB3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Pairwise </w:t>
            </w:r>
            <w:r>
              <w:rPr>
                <w:rFonts w:ascii="Times New Roman" w:eastAsia="Carlito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t</w:t>
            </w: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test and multi-group ANOVA across stage groups</w:t>
            </w:r>
          </w:p>
        </w:tc>
      </w:tr>
      <w:tr w:rsidR="00072EF9" w14:paraId="2A866922" w14:textId="77777777" w:rsidTr="000316AC">
        <w:trPr>
          <w:cantSplit/>
        </w:trPr>
        <w:tc>
          <w:tcPr>
            <w:tcW w:w="19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A12114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Survival analysis (GEPIA2)</w:t>
            </w:r>
          </w:p>
        </w:tc>
        <w:tc>
          <w:tcPr>
            <w:tcW w:w="16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7EC35F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GEPIA2</w:t>
            </w:r>
          </w:p>
        </w:tc>
        <w:tc>
          <w:tcPr>
            <w:tcW w:w="202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19FBD1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TCGA cancer types</w:t>
            </w:r>
          </w:p>
        </w:tc>
        <w:tc>
          <w:tcPr>
            <w:tcW w:w="14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DE2E68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Platform-derived</w:t>
            </w:r>
          </w:p>
        </w:tc>
        <w:tc>
          <w:tcPr>
            <w:tcW w:w="3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A72F6F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High/low NAT10 groups defined by 50%/50% median-based cutoff</w:t>
            </w:r>
          </w:p>
        </w:tc>
        <w:tc>
          <w:tcPr>
            <w:tcW w:w="38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D3A5A4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OS and DFS Kaplan-Meier analyses with log-rank testing</w:t>
            </w:r>
          </w:p>
        </w:tc>
      </w:tr>
      <w:tr w:rsidR="00072EF9" w14:paraId="17796B5E" w14:textId="77777777" w:rsidTr="000316AC">
        <w:trPr>
          <w:cantSplit/>
        </w:trPr>
        <w:tc>
          <w:tcPr>
            <w:tcW w:w="19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17C0E0E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Pan-cancer survival screening</w:t>
            </w:r>
          </w:p>
        </w:tc>
        <w:tc>
          <w:tcPr>
            <w:tcW w:w="16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33D441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UCSC Xena; TCGA TARGET GTEx</w:t>
            </w:r>
          </w:p>
        </w:tc>
        <w:tc>
          <w:tcPr>
            <w:tcW w:w="202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6278B0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 cancer cohorts after filtering</w:t>
            </w:r>
          </w:p>
        </w:tc>
        <w:tc>
          <w:tcPr>
            <w:tcW w:w="14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BCCA53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 cancer cohorts retained</w:t>
            </w:r>
          </w:p>
        </w:tc>
        <w:tc>
          <w:tcPr>
            <w:tcW w:w="3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AA8DCC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 w:rsidRPr="008C0855"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Expression values were obtained as log2(TPM + 0.001) without additional transformation; samples with missing survival data, follow-up shorter than 30 days, and cancer cohorts with fewer than 10 samples were excluded.</w:t>
            </w:r>
          </w:p>
        </w:tc>
        <w:tc>
          <w:tcPr>
            <w:tcW w:w="38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0E9511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Univariable Cox regression; HRs with 95% CIs; log-rank testing</w:t>
            </w:r>
          </w:p>
        </w:tc>
      </w:tr>
      <w:tr w:rsidR="00072EF9" w14:paraId="18870FE5" w14:textId="77777777" w:rsidTr="000316AC">
        <w:trPr>
          <w:cantSplit/>
        </w:trPr>
        <w:tc>
          <w:tcPr>
            <w:tcW w:w="19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18C5D9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Immune-regulatory genes, immune checkpoints, and stemness</w:t>
            </w:r>
          </w:p>
        </w:tc>
        <w:tc>
          <w:tcPr>
            <w:tcW w:w="16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6AE15C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UCSC Xena</w:t>
            </w:r>
          </w:p>
        </w:tc>
        <w:tc>
          <w:tcPr>
            <w:tcW w:w="202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45463DB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Pan-cancer</w:t>
            </w:r>
          </w:p>
        </w:tc>
        <w:tc>
          <w:tcPr>
            <w:tcW w:w="14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487B5CD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Not uniformly reported</w:t>
            </w:r>
          </w:p>
        </w:tc>
        <w:tc>
          <w:tcPr>
            <w:tcW w:w="3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567362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Available NAT10, immune-gene, checkpoint-gene, and DNAss variables</w:t>
            </w:r>
          </w:p>
        </w:tc>
        <w:tc>
          <w:tcPr>
            <w:tcW w:w="38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953E63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Pearson correlations with 150 immune-regulatory genes, 60 checkpoint genes, and DNAss</w:t>
            </w:r>
          </w:p>
        </w:tc>
      </w:tr>
      <w:tr w:rsidR="00072EF9" w14:paraId="0CECC81C" w14:textId="77777777" w:rsidTr="000316AC">
        <w:trPr>
          <w:cantSplit/>
        </w:trPr>
        <w:tc>
          <w:tcPr>
            <w:tcW w:w="19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7972F3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Tumor microenvironment scores</w:t>
            </w:r>
          </w:p>
        </w:tc>
        <w:tc>
          <w:tcPr>
            <w:tcW w:w="16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E3B94F1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UCSC Xena; ESTIMATE</w:t>
            </w:r>
          </w:p>
        </w:tc>
        <w:tc>
          <w:tcPr>
            <w:tcW w:w="202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ECDB205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Pan-cancer</w:t>
            </w:r>
          </w:p>
        </w:tc>
        <w:tc>
          <w:tcPr>
            <w:tcW w:w="14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4336D2A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Not uniformly reported</w:t>
            </w:r>
          </w:p>
        </w:tc>
        <w:tc>
          <w:tcPr>
            <w:tcW w:w="3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3EFCE22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Gene-expression profiles mapped to GeneSymbol; ImmuneScore, StromalScore, and ESTIMATEScore calculated per sample</w:t>
            </w:r>
          </w:p>
        </w:tc>
        <w:tc>
          <w:tcPr>
            <w:tcW w:w="38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C3BB14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Pearson correlations between </w:t>
            </w:r>
            <w:r>
              <w:rPr>
                <w:rFonts w:ascii="Times New Roman" w:eastAsia="Carlito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NAT10</w:t>
            </w: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expression and ESTIMATE-derived scores</w:t>
            </w:r>
          </w:p>
        </w:tc>
      </w:tr>
      <w:tr w:rsidR="00072EF9" w14:paraId="623DC3FE" w14:textId="77777777" w:rsidTr="000316AC">
        <w:trPr>
          <w:cantSplit/>
        </w:trPr>
        <w:tc>
          <w:tcPr>
            <w:tcW w:w="19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C5857A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Immune-cell infiltration</w:t>
            </w:r>
          </w:p>
        </w:tc>
        <w:tc>
          <w:tcPr>
            <w:tcW w:w="16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E9E9913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TIMER2.0</w:t>
            </w:r>
          </w:p>
        </w:tc>
        <w:tc>
          <w:tcPr>
            <w:tcW w:w="202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633C34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TCGA cancer types</w:t>
            </w:r>
          </w:p>
        </w:tc>
        <w:tc>
          <w:tcPr>
            <w:tcW w:w="14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09699D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Platform-dependent</w:t>
            </w:r>
          </w:p>
        </w:tc>
        <w:tc>
          <w:tcPr>
            <w:tcW w:w="3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2573E5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Platform-specific algorithms: xCell, TIMER, CIBERSORT, CIBERSORT-ABS, QUANTISEQ, MCP-counter, EPIC, and TIDE</w:t>
            </w:r>
          </w:p>
        </w:tc>
        <w:tc>
          <w:tcPr>
            <w:tcW w:w="38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EDBD316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Associations between </w:t>
            </w:r>
            <w:r>
              <w:rPr>
                <w:rFonts w:ascii="Times New Roman" w:eastAsia="Carlito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NAT10</w:t>
            </w: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expression and estimated immune/stromal-cell infiltration</w:t>
            </w:r>
          </w:p>
        </w:tc>
      </w:tr>
      <w:tr w:rsidR="00072EF9" w14:paraId="10A21F1D" w14:textId="77777777" w:rsidTr="000316AC">
        <w:trPr>
          <w:cantSplit/>
        </w:trPr>
        <w:tc>
          <w:tcPr>
            <w:tcW w:w="19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94BF50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NAT10-interacting proteins and associated genes</w:t>
            </w:r>
          </w:p>
        </w:tc>
        <w:tc>
          <w:tcPr>
            <w:tcW w:w="16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7C4A50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STRING, GEPIA2, TIMER2.0, SangerBox</w:t>
            </w:r>
          </w:p>
        </w:tc>
        <w:tc>
          <w:tcPr>
            <w:tcW w:w="202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3BA86C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Pan-cancer / gene-level analyses</w:t>
            </w:r>
          </w:p>
        </w:tc>
        <w:tc>
          <w:tcPr>
            <w:tcW w:w="14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B8E40B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 proteins; top 100 genes; top 10 displayed</w:t>
            </w:r>
          </w:p>
        </w:tc>
        <w:tc>
          <w:tcPr>
            <w:tcW w:w="3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111454C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Experimentally supported human NAT10-binding proteins; GEPIA2 Similar Gene Detection</w:t>
            </w:r>
          </w:p>
        </w:tc>
        <w:tc>
          <w:tcPr>
            <w:tcW w:w="38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9C6381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PPI network; Spearman correlation heatmap; KEGG/GO enrichment</w:t>
            </w:r>
          </w:p>
        </w:tc>
      </w:tr>
      <w:tr w:rsidR="00072EF9" w14:paraId="217C5FF1" w14:textId="77777777" w:rsidTr="000316AC">
        <w:trPr>
          <w:cantSplit/>
        </w:trPr>
        <w:tc>
          <w:tcPr>
            <w:tcW w:w="19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904772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 xml:space="preserve">Pan-cancer </w:t>
            </w:r>
            <w:r>
              <w:rPr>
                <w:rFonts w:ascii="Times New Roman" w:eastAsia="Carlito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NAT10</w:t>
            </w: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genomic alterations</w:t>
            </w:r>
          </w:p>
        </w:tc>
        <w:tc>
          <w:tcPr>
            <w:tcW w:w="16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11A4D3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cBioPortal</w:t>
            </w:r>
          </w:p>
        </w:tc>
        <w:tc>
          <w:tcPr>
            <w:tcW w:w="202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ED0646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Pan-cancer</w:t>
            </w:r>
          </w:p>
        </w:tc>
        <w:tc>
          <w:tcPr>
            <w:tcW w:w="14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167A2F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30 cancer types with </w:t>
            </w:r>
            <w:r>
              <w:rPr>
                <w:rFonts w:ascii="Times New Roman" w:eastAsia="Carlito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NAT10</w:t>
            </w: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alterations</w:t>
            </w:r>
          </w:p>
        </w:tc>
        <w:tc>
          <w:tcPr>
            <w:tcW w:w="3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85A0CE1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Available cBioPortal cancer cohorts</w:t>
            </w:r>
          </w:p>
        </w:tc>
        <w:tc>
          <w:tcPr>
            <w:tcW w:w="38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ACE93B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Alteration frequency and mutation-spectrum analyses</w:t>
            </w:r>
          </w:p>
        </w:tc>
      </w:tr>
      <w:tr w:rsidR="00072EF9" w14:paraId="23A8FE3B" w14:textId="77777777" w:rsidTr="000316AC">
        <w:trPr>
          <w:cantSplit/>
        </w:trPr>
        <w:tc>
          <w:tcPr>
            <w:tcW w:w="19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795C6B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Tumor mutational burden</w:t>
            </w:r>
          </w:p>
        </w:tc>
        <w:tc>
          <w:tcPr>
            <w:tcW w:w="16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DB53BB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TCGA MuTect2 SNV; maftools; UCSC Xena</w:t>
            </w:r>
          </w:p>
        </w:tc>
        <w:tc>
          <w:tcPr>
            <w:tcW w:w="202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E280520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 tumor types</w:t>
            </w:r>
          </w:p>
        </w:tc>
        <w:tc>
          <w:tcPr>
            <w:tcW w:w="14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596E72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 tumor types</w:t>
            </w:r>
          </w:p>
        </w:tc>
        <w:tc>
          <w:tcPr>
            <w:tcW w:w="3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EEF2BE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TMB calculated from TCGA somatic mutation data; TMB and </w:t>
            </w:r>
            <w:r>
              <w:rPr>
                <w:rFonts w:ascii="Times New Roman" w:eastAsia="Carlito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NAT10</w:t>
            </w: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expression data integrated</w:t>
            </w:r>
          </w:p>
        </w:tc>
        <w:tc>
          <w:tcPr>
            <w:tcW w:w="38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E32902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Pearson correlation between </w:t>
            </w:r>
            <w:r>
              <w:rPr>
                <w:rFonts w:ascii="Times New Roman" w:eastAsia="Carlito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NAT10</w:t>
            </w: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expression and TMB</w:t>
            </w:r>
          </w:p>
        </w:tc>
      </w:tr>
      <w:tr w:rsidR="00072EF9" w14:paraId="48980322" w14:textId="77777777" w:rsidTr="000316AC">
        <w:trPr>
          <w:cantSplit/>
        </w:trPr>
        <w:tc>
          <w:tcPr>
            <w:tcW w:w="19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2DE25F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RNA-modification-related gene analysis</w:t>
            </w:r>
          </w:p>
        </w:tc>
        <w:tc>
          <w:tcPr>
            <w:tcW w:w="16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520E2E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UCSC Xena</w:t>
            </w:r>
          </w:p>
        </w:tc>
        <w:tc>
          <w:tcPr>
            <w:tcW w:w="202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F6F958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Pan-cancer</w:t>
            </w:r>
          </w:p>
        </w:tc>
        <w:tc>
          <w:tcPr>
            <w:tcW w:w="14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C8578B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 RNA-modification-related genes</w:t>
            </w:r>
          </w:p>
        </w:tc>
        <w:tc>
          <w:tcPr>
            <w:tcW w:w="3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D360A3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 m1A-, 13 m5C-, and 21 m6A-related genes; expression values provided as log2(TPM + 0.001), without additional logarithmic transformation</w:t>
            </w:r>
          </w:p>
        </w:tc>
        <w:tc>
          <w:tcPr>
            <w:tcW w:w="38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2F31D8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Pearson correlation heatmap with </w:t>
            </w:r>
            <w:r>
              <w:rPr>
                <w:rFonts w:ascii="Times New Roman" w:eastAsia="Carlito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NAT10</w:t>
            </w: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expression</w:t>
            </w:r>
          </w:p>
        </w:tc>
      </w:tr>
      <w:tr w:rsidR="00072EF9" w14:paraId="05C5671F" w14:textId="77777777" w:rsidTr="000316AC">
        <w:trPr>
          <w:cantSplit/>
        </w:trPr>
        <w:tc>
          <w:tcPr>
            <w:tcW w:w="19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BD1D20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BRCA cancer-specific analysis</w:t>
            </w:r>
          </w:p>
        </w:tc>
        <w:tc>
          <w:tcPr>
            <w:tcW w:w="16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130C13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cBioPortal, HPA, LinkedOmics</w:t>
            </w:r>
          </w:p>
        </w:tc>
        <w:tc>
          <w:tcPr>
            <w:tcW w:w="202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C2F843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Breast invasive carcinoma (BRCA)</w:t>
            </w:r>
          </w:p>
        </w:tc>
        <w:tc>
          <w:tcPr>
            <w:tcW w:w="14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BB077F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Platform-dependent</w:t>
            </w:r>
          </w:p>
        </w:tc>
        <w:tc>
          <w:tcPr>
            <w:tcW w:w="3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1B4EDB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Available BRCA data in the respective public platforms</w:t>
            </w:r>
          </w:p>
        </w:tc>
        <w:tc>
          <w:tcPr>
            <w:tcW w:w="38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ACF87C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Mutation profile; qualitative HPA IHC; correlated genes; KEGG/GO GSEA</w:t>
            </w:r>
          </w:p>
        </w:tc>
      </w:tr>
      <w:tr w:rsidR="00072EF9" w14:paraId="7C916AB0" w14:textId="77777777" w:rsidTr="000316AC">
        <w:trPr>
          <w:cantSplit/>
        </w:trPr>
        <w:tc>
          <w:tcPr>
            <w:tcW w:w="19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111BAFA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ESCA cancer-specific analysis</w:t>
            </w:r>
          </w:p>
        </w:tc>
        <w:tc>
          <w:tcPr>
            <w:tcW w:w="16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3EAA77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cBioPortal, HPA, LinkedOmics, CancerSEA</w:t>
            </w:r>
          </w:p>
        </w:tc>
        <w:tc>
          <w:tcPr>
            <w:tcW w:w="202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F1E6010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Esophageal carcinoma (ESCA)</w:t>
            </w:r>
          </w:p>
        </w:tc>
        <w:tc>
          <w:tcPr>
            <w:tcW w:w="14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581A11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Platform-dependent</w:t>
            </w:r>
          </w:p>
        </w:tc>
        <w:tc>
          <w:tcPr>
            <w:tcW w:w="3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ECF4FA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Available ESCA data in the respective public platforms</w:t>
            </w:r>
          </w:p>
        </w:tc>
        <w:tc>
          <w:tcPr>
            <w:tcW w:w="38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7EE12D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Mutation profile; HPA IF; KEGG/GO GSEA; single-cell functional-state correlations</w:t>
            </w:r>
          </w:p>
        </w:tc>
      </w:tr>
      <w:tr w:rsidR="00072EF9" w14:paraId="1EEC51BB" w14:textId="77777777" w:rsidTr="000316AC">
        <w:trPr>
          <w:cantSplit/>
        </w:trPr>
        <w:tc>
          <w:tcPr>
            <w:tcW w:w="19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1B6DF24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Exploratory immune-checkpoint-blockade survival analysis</w:t>
            </w:r>
          </w:p>
        </w:tc>
        <w:tc>
          <w:tcPr>
            <w:tcW w:w="16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9B5600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Kaplan-Meier Plotter</w:t>
            </w:r>
          </w:p>
        </w:tc>
        <w:tc>
          <w:tcPr>
            <w:tcW w:w="202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53F0375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No immunotherapy; anti-PD-1; anti-PD-L1; anti-CTLA-4</w:t>
            </w:r>
          </w:p>
        </w:tc>
        <w:tc>
          <w:tcPr>
            <w:tcW w:w="14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D7487F4" w14:textId="77777777" w:rsidR="00072EF9" w:rsidRPr="000F3E01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  <w:lang w:val="pt-PT"/>
              </w:rPr>
            </w:pPr>
            <w:r w:rsidRPr="000F3E01"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val="pt-PT" w:bidi="ar"/>
              </w:rPr>
              <w:t xml:space="preserve">No immunotherapy </w:t>
            </w:r>
            <w:r w:rsidRPr="000F3E01">
              <w:rPr>
                <w:rFonts w:ascii="Times New Roman" w:eastAsia="Carlito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pt-PT" w:bidi="ar"/>
              </w:rPr>
              <w:t xml:space="preserve">N </w:t>
            </w:r>
            <w:r w:rsidRPr="000F3E01"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val="pt-PT" w:bidi="ar"/>
              </w:rPr>
              <w:t xml:space="preserve">= 933; anti-PD-1 </w:t>
            </w:r>
            <w:r w:rsidRPr="000F3E01">
              <w:rPr>
                <w:rFonts w:ascii="Times New Roman" w:eastAsia="Carlito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pt-PT" w:bidi="ar"/>
              </w:rPr>
              <w:t xml:space="preserve">N </w:t>
            </w:r>
            <w:r w:rsidRPr="000F3E01"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val="pt-PT" w:bidi="ar"/>
              </w:rPr>
              <w:t xml:space="preserve">= 411; anti-PD-L1 </w:t>
            </w:r>
            <w:r w:rsidRPr="000F3E01">
              <w:rPr>
                <w:rFonts w:ascii="Times New Roman" w:eastAsia="Carlito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pt-PT" w:bidi="ar"/>
              </w:rPr>
              <w:t xml:space="preserve">N </w:t>
            </w:r>
            <w:r w:rsidRPr="000F3E01"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val="pt-PT" w:bidi="ar"/>
              </w:rPr>
              <w:t xml:space="preserve">= 459; anti-CTLA-4 </w:t>
            </w:r>
            <w:r w:rsidRPr="000F3E01">
              <w:rPr>
                <w:rFonts w:ascii="Times New Roman" w:eastAsia="Carlito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pt-PT" w:bidi="ar"/>
              </w:rPr>
              <w:t xml:space="preserve">N </w:t>
            </w:r>
            <w:r w:rsidRPr="000F3E01"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val="pt-PT" w:bidi="ar"/>
              </w:rPr>
              <w:t>= 112</w:t>
            </w:r>
          </w:p>
        </w:tc>
        <w:tc>
          <w:tcPr>
            <w:tcW w:w="3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907D6C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Platform-defined treatment categories; high/low NAT10 groups by auto-select best cutoff</w:t>
            </w:r>
          </w:p>
        </w:tc>
        <w:tc>
          <w:tcPr>
            <w:tcW w:w="38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2873BA" w14:textId="77777777" w:rsidR="00072EF9" w:rsidRDefault="00072EF9" w:rsidP="000316AC">
            <w:pPr>
              <w:widowControl/>
              <w:spacing w:line="260" w:lineRule="auto"/>
              <w:jc w:val="left"/>
              <w:textAlignment w:val="top"/>
              <w:rPr>
                <w:rFonts w:ascii="Times New Roman Regular" w:eastAsia="Carlito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Kaplan-Meier OS analysis; HRs with 95% CIs; exploratory treatment-group-specific associations</w:t>
            </w:r>
          </w:p>
        </w:tc>
      </w:tr>
    </w:tbl>
    <w:p w14:paraId="6B083E62" w14:textId="770E7E0C" w:rsidR="00072EF9" w:rsidRPr="00072EF9" w:rsidRDefault="00072EF9" w:rsidP="00072EF9">
      <w:pPr>
        <w:spacing w:line="480" w:lineRule="auto"/>
        <w:rPr>
          <w:rFonts w:ascii="Times New Roman" w:hAnsi="Times New Roman" w:cs="Times New Roman"/>
          <w:szCs w:val="21"/>
        </w:rPr>
      </w:pPr>
      <w:r w:rsidRPr="00072EF9">
        <w:rPr>
          <w:rFonts w:ascii="Times New Roman" w:hAnsi="Times New Roman" w:cs="Times New Roman"/>
          <w:szCs w:val="21"/>
        </w:rPr>
        <w:t xml:space="preserve">ANOVA, analysis of variance; BRCA, breast invasive carcinoma; CI, confidence interval; CTLA-4, cytotoxic T-lymphocyte-associated protein 4; DFS, disease-free survival; DNAss, DNA methylation-based stemness score; ESCA, esophageal carcinoma; GEPIA2, Gene Expression Profiling Interactive Analysis 2; GO, Gene Ontology; GSEA, gene set enrichment analysis; GTEx, Genotype-Tissue Expression; HPA, Human Protein Atlas; HR, hazard ratio; IF, immunofluorescence; IHC, immunohistochemistry; KEGG, Kyoto Encyclopedia of Genes and Genomes; KIRP, kidney renal papillary cell carcinoma; LIHC, liver hepatocellular carcinoma; LUAD, lung adenocarcinoma; m1A, N1-methyladenosine; m5C, 5-methylcytosine; m6A, N6-methyladenosine; MCP-counter, Microenvironment Cell Populations-counter; NAT10, N-acetyltransferase 10; OS, overall survival; PAAD, pancreatic adenocarcinoma; PD-1, programmed cell death protein 1; PD-L1, programmed death-ligand 1; PPI, protein–protein interaction; QUANTISEQ, quanTIseq immune-cell deconvolution algorithm; SNV, single nucleotide variant; </w:t>
      </w:r>
      <w:r w:rsidRPr="00072EF9">
        <w:rPr>
          <w:rFonts w:ascii="Times New Roman" w:hAnsi="Times New Roman" w:cs="Times New Roman"/>
          <w:szCs w:val="21"/>
        </w:rPr>
        <w:lastRenderedPageBreak/>
        <w:t>STRING, Search Tool for the Retrieval of Interacting Genes/Proteins; TARGET, Therapeutically Applicable Research to Generate Effective Treatments; TCGA, The Cancer Genome Atlas; TIDE, Tumor Immune Dysfunction and Exclusion; TIMER, Tumor Immune Estimation Resource; TIMER2.0, Tumor Immune Estimation Resource 2.0; TMB, tumor mutational burden; TPM, transcripts per million; UCSC, University of California, Santa Cruz</w:t>
      </w:r>
      <w:r w:rsidRPr="00072EF9">
        <w:rPr>
          <w:rFonts w:ascii="Times New Roman" w:hAnsi="Times New Roman" w:cs="Times New Roman" w:hint="eastAsia"/>
          <w:szCs w:val="21"/>
        </w:rPr>
        <w:t>.</w:t>
      </w:r>
    </w:p>
    <w:p w14:paraId="753E8188" w14:textId="77777777" w:rsidR="00DA7984" w:rsidRPr="00072EF9" w:rsidRDefault="00DA7984" w:rsidP="00072EF9"/>
    <w:sectPr w:rsidR="00DA7984" w:rsidRPr="00072EF9" w:rsidSect="00072EF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A1991" w14:textId="77777777" w:rsidR="00193D4F" w:rsidRDefault="00193D4F" w:rsidP="00072EF9">
      <w:r>
        <w:separator/>
      </w:r>
    </w:p>
  </w:endnote>
  <w:endnote w:type="continuationSeparator" w:id="0">
    <w:p w14:paraId="3F32440F" w14:textId="77777777" w:rsidR="00193D4F" w:rsidRDefault="00193D4F" w:rsidP="00072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rlito">
    <w:altName w:val="苹方-简"/>
    <w:charset w:val="00"/>
    <w:family w:val="auto"/>
    <w:pitch w:val="default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7FAB" w14:textId="77777777" w:rsidR="00193D4F" w:rsidRDefault="00193D4F" w:rsidP="00072EF9">
      <w:r>
        <w:separator/>
      </w:r>
    </w:p>
  </w:footnote>
  <w:footnote w:type="continuationSeparator" w:id="0">
    <w:p w14:paraId="478E1CD9" w14:textId="77777777" w:rsidR="00193D4F" w:rsidRDefault="00193D4F" w:rsidP="00072E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7984"/>
    <w:rsid w:val="00072EF9"/>
    <w:rsid w:val="00193D4F"/>
    <w:rsid w:val="004638D7"/>
    <w:rsid w:val="00B925A4"/>
    <w:rsid w:val="00DA7984"/>
    <w:rsid w:val="00FE208E"/>
    <w:rsid w:val="29A57BC4"/>
    <w:rsid w:val="4C1F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07D60F"/>
  <w15:docId w15:val="{870A34B2-64C5-47CF-A7EA-810AADB8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72EF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72EF9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5">
    <w:name w:val="footer"/>
    <w:basedOn w:val="a"/>
    <w:link w:val="a6"/>
    <w:rsid w:val="00072E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72EF9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894</Words>
  <Characters>5100</Characters>
  <Application>Microsoft Office Word</Application>
  <DocSecurity>0</DocSecurity>
  <Lines>42</Lines>
  <Paragraphs>11</Paragraphs>
  <ScaleCrop>false</ScaleCrop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10151</dc:creator>
  <cp:lastModifiedBy>Editor</cp:lastModifiedBy>
  <cp:revision>3</cp:revision>
  <dcterms:created xsi:type="dcterms:W3CDTF">2026-09-11T02:20:00Z</dcterms:created>
  <dcterms:modified xsi:type="dcterms:W3CDTF">2026-10-23T06:23:00Z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eyJoZGlkIjoiYmQxYzE0NmQyN2FiYzNmNTgyN2JhYjU0Nzc4MjYxNWIiLCJ1c2VySWQiOiIxNjM0NDE5NTc5In0=</vt:lpwstr>
  </property>
  <property fmtid="{D5CDD505-2E9C-101B-9397-08002B2CF9AE}" pid="4" name="ICV">
    <vt:lpwstr>79FCA109934B42B49170DA0DA7D8BE91_12</vt:lpwstr>
  </property>
</Properties>
</file>