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E71EB" w14:textId="77777777" w:rsidR="003114FA" w:rsidRPr="008D5892" w:rsidRDefault="003114FA" w:rsidP="003114FA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sz w:val="22"/>
          <w:szCs w:val="22"/>
        </w:rPr>
      </w:pPr>
      <w:r w:rsidRPr="008D5892">
        <w:rPr>
          <w:rFonts w:ascii="Times New Roman" w:hAnsi="Times New Roman" w:cs="Times New Roman"/>
          <w:b/>
          <w:bCs/>
          <w:sz w:val="22"/>
          <w:szCs w:val="22"/>
        </w:rPr>
        <w:t>Supplementary Table 12.</w:t>
      </w:r>
      <w:r w:rsidRPr="008D5892">
        <w:rPr>
          <w:rFonts w:ascii="Times New Roman" w:hAnsi="Times New Roman" w:cs="Times New Roman"/>
          <w:sz w:val="22"/>
          <w:szCs w:val="22"/>
        </w:rPr>
        <w:t xml:space="preserve"> Uni- and multivariate analyses to identify independent prognostic factors in the p</w:t>
      </w:r>
      <w:r w:rsidRPr="008D5892">
        <w:rPr>
          <w:rFonts w:ascii="Times New Roman" w:eastAsia="DengXian" w:hAnsi="Times New Roman" w:cs="Times New Roman"/>
          <w:bCs/>
          <w:sz w:val="22"/>
          <w:szCs w:val="22"/>
        </w:rPr>
        <w:t>ropensity score-matched subsets</w:t>
      </w:r>
      <w:r w:rsidRPr="008D5892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TableGrid"/>
        <w:tblW w:w="0" w:type="auto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869"/>
        <w:gridCol w:w="1550"/>
        <w:gridCol w:w="779"/>
        <w:gridCol w:w="1550"/>
        <w:gridCol w:w="780"/>
        <w:gridCol w:w="1550"/>
        <w:gridCol w:w="666"/>
        <w:gridCol w:w="1550"/>
        <w:gridCol w:w="666"/>
      </w:tblGrid>
      <w:tr w:rsidR="003114FA" w:rsidRPr="00451F2C" w14:paraId="5E5477F0" w14:textId="77777777" w:rsidTr="00306465">
        <w:trPr>
          <w:trHeight w:hRule="exact" w:val="454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8652E3F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Variable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ABF3B0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Recurrence-free survival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B087BF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Overall survival</w:t>
            </w:r>
          </w:p>
        </w:tc>
      </w:tr>
      <w:tr w:rsidR="003114FA" w:rsidRPr="00451F2C" w14:paraId="1E59F8BB" w14:textId="77777777" w:rsidTr="00306465">
        <w:trPr>
          <w:trHeight w:hRule="exact"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98A0BF3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F95A57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Univariate analysis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0BBF7B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Multivariate analysis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BD9F88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Univariate analysis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9E1A0A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Multivariate analysis</w:t>
            </w:r>
          </w:p>
        </w:tc>
      </w:tr>
      <w:tr w:rsidR="003114FA" w:rsidRPr="00451F2C" w14:paraId="7FDB2A63" w14:textId="77777777" w:rsidTr="00306465">
        <w:trPr>
          <w:trHeight w:hRule="exact"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CA7E496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4FF959B5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2BF3617A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i/>
                <w:iCs/>
                <w:szCs w:val="21"/>
              </w:rPr>
            </w:pPr>
            <w:r w:rsidRPr="00451F2C">
              <w:rPr>
                <w:i/>
                <w:iCs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32EF4E4D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219BB6AB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i/>
                <w:iCs/>
                <w:szCs w:val="21"/>
              </w:rPr>
            </w:pPr>
            <w:r w:rsidRPr="00451F2C">
              <w:rPr>
                <w:i/>
                <w:iCs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6DBB77AA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4BEAA1C7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i/>
                <w:iCs/>
                <w:szCs w:val="21"/>
              </w:rPr>
            </w:pPr>
            <w:r w:rsidRPr="00451F2C">
              <w:rPr>
                <w:i/>
                <w:iCs/>
                <w:szCs w:val="21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034D343A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43D93BE2" w14:textId="77777777" w:rsidR="003114FA" w:rsidRPr="00451F2C" w:rsidRDefault="003114FA" w:rsidP="00306465">
            <w:pPr>
              <w:spacing w:beforeLines="50" w:before="120" w:afterLines="50" w:after="120"/>
              <w:jc w:val="center"/>
              <w:textAlignment w:val="center"/>
              <w:rPr>
                <w:i/>
                <w:iCs/>
                <w:szCs w:val="21"/>
              </w:rPr>
            </w:pPr>
            <w:r w:rsidRPr="00451F2C">
              <w:rPr>
                <w:i/>
                <w:iCs/>
                <w:szCs w:val="21"/>
              </w:rPr>
              <w:t>P</w:t>
            </w:r>
          </w:p>
        </w:tc>
      </w:tr>
      <w:tr w:rsidR="003114FA" w:rsidRPr="008D5892" w14:paraId="3A4EF47F" w14:textId="77777777" w:rsidTr="00306465">
        <w:trPr>
          <w:trHeight w:hRule="exact" w:val="454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5F60E4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Age, yrs (&lt;60 vs ≥60)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1B8E8C71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0.70 (0.48–1.04)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6AE8BF0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0.076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313B5B91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D349A4C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610408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0.62 (0.35–1.10)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688882F6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0.099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5815046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39562ED2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3114FA" w:rsidRPr="008D5892" w14:paraId="3853398B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068D8C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Sex (male vs female)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070EC6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1.00 (0.70–1.42)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72B1720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B22E4F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4B6B65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07EF782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0.85 (0.53–1.37)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1EA1B62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D293A5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1AF2CB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3114FA" w:rsidRPr="008D5892" w14:paraId="5EA1C621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D3689C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HBsAg (positive vs negative)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8610DD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1.11 (0.81–1.54)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E5C39E2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32571F6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E91C28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8E1B9C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1.54 (0.93–2.53)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6A0A1E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B6F942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2944ED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3114FA" w:rsidRPr="008D5892" w14:paraId="40D62BE1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3ABE0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Antivirus therapy (presence vs absence)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8C47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0.95 (0.75</w:t>
            </w:r>
            <w:r w:rsidRPr="00C40521">
              <w:rPr>
                <w:szCs w:val="21"/>
              </w:rPr>
              <w:t>–1.</w:t>
            </w:r>
            <w:r w:rsidRPr="00451F2C">
              <w:rPr>
                <w:szCs w:val="21"/>
              </w:rPr>
              <w:t>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5225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3C7D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6415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6B12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0.98 (0.80</w:t>
            </w:r>
            <w:r w:rsidRPr="00C40521">
              <w:rPr>
                <w:szCs w:val="21"/>
              </w:rPr>
              <w:t>–1.</w:t>
            </w:r>
            <w:r w:rsidRPr="00451F2C">
              <w:rPr>
                <w:szCs w:val="21"/>
              </w:rPr>
              <w:t>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7F94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9F2917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9C2CA41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3114FA" w:rsidRPr="008D5892" w14:paraId="6EED7B58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5E31C6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AFP, ng/ml (≥400 vs &lt;400)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FA86D5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1.34 (1.04–1.71)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B789379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BBE918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1.23 (0.95–1.58)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8E2AD2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szCs w:val="21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B19B6B0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1.35 (0.96–1.92)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4827200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C51C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A08B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</w:tr>
      <w:tr w:rsidR="003114FA" w:rsidRPr="008D5892" w14:paraId="150E0A09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A1CC8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ECOG PS (1 vs 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52FAD0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1.02 (0.75–1.40)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10D036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B47C8C1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BED5B2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BCE7BC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1.03 (0.67–1.57)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B6F32E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4005EA0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D3AD51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3114FA" w:rsidRPr="008D5892" w14:paraId="58A616C4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A3A89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Child-Pugh grade (B vs 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F87F1A9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1.10 (0.72–1.68)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D4ED8C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4E02CB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71FD586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B4F513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1.02 (0.57–1.86)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CEC900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A5DB0C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753E5D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</w:tr>
      <w:tr w:rsidR="003114FA" w:rsidRPr="008D5892" w14:paraId="38AF5A75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C441FB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color w:val="000000"/>
                <w:szCs w:val="21"/>
              </w:rPr>
              <w:t>Albumin-bilirubin grade (1 vs 2/3)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2241FC9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0.67 (0.31–1.44)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EE4478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699A46B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F457F8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83B268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0.46 (0.18–1.45)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041EEDF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C75B51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AB0B8D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</w:tr>
      <w:tr w:rsidR="003114FA" w:rsidRPr="008D5892" w14:paraId="390C155B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2E123F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Liver cirrhosis (presence vs absence)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47EC94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1.20 (0.91–1.60)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EFBE90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color w:val="FF0000"/>
                <w:szCs w:val="21"/>
              </w:rPr>
            </w:pPr>
            <w:r w:rsidRPr="00451F2C">
              <w:rPr>
                <w:szCs w:val="21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1279BA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78AC43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196191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1.20 (0.81–1.78)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64D8BFB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7FFE2F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EB3F6B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</w:tr>
      <w:tr w:rsidR="003114FA" w:rsidRPr="008D5892" w14:paraId="46C926E7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9C263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MASLD (absence vs presence)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472E3DF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0.89 (0.64–1.25)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69CBE5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63E4799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E4DA36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3838D8C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0.87 (0.53–1.43)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8DA24D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3C495BC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7B145A1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3114FA" w:rsidRPr="008D5892" w14:paraId="5A899E8C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E63799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Tumor size 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3EFAD9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1.04 (1.01–1.08)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CE35EDC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9BAF211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1.01 (0.97–1.05)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3E54F5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szCs w:val="21"/>
              </w:rPr>
              <w:t>0.720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F219C4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1.05 (1.01–1.10)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7759B00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5C819DB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1.02 (0.97–1.07)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894ABA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szCs w:val="21"/>
              </w:rPr>
              <w:t>0.444</w:t>
            </w:r>
          </w:p>
        </w:tc>
      </w:tr>
      <w:tr w:rsidR="003114FA" w:rsidRPr="008D5892" w14:paraId="5CE6A150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94573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Tumor number (1 vs ≥2)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1E3E56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0.80 (0.59–1.09)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EE562D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10D763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C7D317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9DF641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0.81 (0.53–1.23)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A0FB99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84FE3F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BEA7711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3114FA" w:rsidRPr="008D5892" w14:paraId="7542655F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C7679C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Macrovascular invasion (presence vs absence)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ADE949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1.49 (1.12–1.99)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7F6C17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069BC70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1.34 (0.84–2.15)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36F015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szCs w:val="21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4930241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1.68 (1.15–2.45)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6CA526C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AC8FF22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1.34 (0.70–2.56)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1BF0859C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0.379</w:t>
            </w:r>
          </w:p>
        </w:tc>
      </w:tr>
      <w:tr w:rsidR="003114FA" w:rsidRPr="008D5892" w14:paraId="44B51A71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37D41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Microvascular invasion (presence vs absence)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BD0437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1.75 (1.35–2.26)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FB8B5D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C241CB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1.60 (1.22–2.08)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06E9A1B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b/>
                <w:bCs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E1AE0C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1.54 (1.08–2.21)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482E7D46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A88C2B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1.38 (0.95–1.99)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BA3C479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szCs w:val="21"/>
              </w:rPr>
              <w:t>0.091</w:t>
            </w:r>
          </w:p>
        </w:tc>
      </w:tr>
      <w:tr w:rsidR="003114FA" w:rsidRPr="008D5892" w14:paraId="136012C9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C43BA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Edmondson-Steiner grade (III–IV vs I–II)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D30CD34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1.19 (0.93–1.52)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043D40C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CEBA42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7056866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582F109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1.20 (0.85–1.70)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B65DA42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D72F6B6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E6F6AC5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3114FA" w:rsidRPr="008D5892" w14:paraId="30922E7E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BD6F60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Resection margin (≥1cm vs &lt;1cm)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6966A53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0.79 (0.62–1.02)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1DD2C0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F352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7EC5E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3B700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1.14 (0.81–1.62)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06793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22D72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64D58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3114FA" w:rsidRPr="008D5892" w14:paraId="28DF941E" w14:textId="77777777" w:rsidTr="00306465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0E659F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lastRenderedPageBreak/>
              <w:t>Adjuvant therapy (presence vs absence)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A5D7A6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0.58 (0.45–0.75)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F2D7BC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EF2BAF7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0.58 (0.45–0.74)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0FB739D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b/>
                <w:bCs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98F3EB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0.63 (044–0.90)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766469A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9AF6466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0.64 (0.44–0.91)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8AB90D2" w14:textId="77777777" w:rsidR="003114FA" w:rsidRPr="00451F2C" w:rsidRDefault="003114FA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b/>
                <w:bCs/>
                <w:szCs w:val="21"/>
              </w:rPr>
              <w:t>0.013</w:t>
            </w:r>
          </w:p>
        </w:tc>
      </w:tr>
    </w:tbl>
    <w:p w14:paraId="244215D9" w14:textId="77777777" w:rsidR="003114FA" w:rsidRPr="008D5892" w:rsidRDefault="003114FA" w:rsidP="003114FA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sz w:val="22"/>
          <w:szCs w:val="22"/>
        </w:rPr>
      </w:pPr>
      <w:r w:rsidRPr="008D5892">
        <w:rPr>
          <w:rFonts w:ascii="Times New Roman" w:hAnsi="Times New Roman" w:cs="Times New Roman"/>
          <w:sz w:val="22"/>
          <w:szCs w:val="22"/>
        </w:rPr>
        <w:t>Bold text indicates statistically significant differences (P &lt; 0.05).</w:t>
      </w:r>
      <w:r w:rsidRPr="00451F2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64CDC3C" w14:textId="77777777" w:rsidR="003114FA" w:rsidRPr="008D5892" w:rsidRDefault="003114FA" w:rsidP="003114FA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sz w:val="22"/>
          <w:szCs w:val="22"/>
        </w:rPr>
      </w:pPr>
      <w:r w:rsidRPr="00451F2C">
        <w:rPr>
          <w:rFonts w:ascii="Times New Roman" w:hAnsi="Times New Roman" w:cs="Times New Roman"/>
          <w:sz w:val="22"/>
          <w:szCs w:val="22"/>
        </w:rPr>
        <w:t>AFP,</w:t>
      </w:r>
      <w:r w:rsidRPr="008D5892">
        <w:rPr>
          <w:rFonts w:ascii="Times New Roman" w:eastAsia="SimSun" w:hAnsi="Times New Roman" w:cs="Times New Roman"/>
          <w:bCs/>
          <w:color w:val="000000"/>
          <w:sz w:val="22"/>
          <w:szCs w:val="22"/>
        </w:rPr>
        <w:t xml:space="preserve"> alpha-fetoprotein</w:t>
      </w:r>
      <w:r w:rsidRPr="00451F2C">
        <w:rPr>
          <w:rFonts w:ascii="Times New Roman" w:hAnsi="Times New Roman" w:cs="Times New Roman"/>
          <w:sz w:val="22"/>
          <w:szCs w:val="22"/>
        </w:rPr>
        <w:t xml:space="preserve">; </w:t>
      </w:r>
      <w:r w:rsidRPr="008D5892">
        <w:rPr>
          <w:rFonts w:ascii="Times New Roman" w:hAnsi="Times New Roman" w:cs="Times New Roman"/>
          <w:sz w:val="22"/>
          <w:szCs w:val="22"/>
        </w:rPr>
        <w:t xml:space="preserve">CI, confidence interval; </w:t>
      </w:r>
      <w:r w:rsidRPr="00451F2C">
        <w:rPr>
          <w:rFonts w:ascii="Times New Roman" w:hAnsi="Times New Roman" w:cs="Times New Roman"/>
          <w:sz w:val="22"/>
          <w:szCs w:val="22"/>
        </w:rPr>
        <w:t>ECOG PS,</w:t>
      </w:r>
      <w:r w:rsidRPr="008D5892">
        <w:rPr>
          <w:rFonts w:ascii="Times New Roman" w:eastAsia="SimSun" w:hAnsi="Times New Roman" w:cs="Times New Roman"/>
          <w:color w:val="000000"/>
          <w:sz w:val="22"/>
          <w:szCs w:val="22"/>
        </w:rPr>
        <w:t xml:space="preserve"> Eastern Cooperative Oncology Group Performance Status</w:t>
      </w:r>
      <w:r w:rsidRPr="00451F2C">
        <w:rPr>
          <w:rFonts w:ascii="Times New Roman" w:hAnsi="Times New Roman" w:cs="Times New Roman"/>
          <w:sz w:val="22"/>
          <w:szCs w:val="22"/>
        </w:rPr>
        <w:t xml:space="preserve">; </w:t>
      </w:r>
      <w:r w:rsidRPr="008D5892">
        <w:rPr>
          <w:rFonts w:ascii="Times New Roman" w:hAnsi="Times New Roman" w:cs="Times New Roman"/>
          <w:sz w:val="22"/>
          <w:szCs w:val="22"/>
        </w:rPr>
        <w:t>HBsAg, hepatitis B virus surface antigen; HBV, hepatitis B virus; HR, hazard ratio</w:t>
      </w:r>
      <w:r w:rsidRPr="00451F2C">
        <w:rPr>
          <w:rFonts w:ascii="Times New Roman" w:hAnsi="Times New Roman" w:cs="Times New Roman"/>
          <w:sz w:val="22"/>
          <w:szCs w:val="22"/>
        </w:rPr>
        <w:t>; MASLD,</w:t>
      </w:r>
      <w:r w:rsidRPr="00451F2C">
        <w:rPr>
          <w:rFonts w:ascii="Times New Roman" w:eastAsia="Microsoft YaHei UI" w:hAnsi="Times New Roman" w:cs="Times New Roman"/>
          <w:spacing w:val="8"/>
          <w:shd w:val="clear" w:color="auto" w:fill="FFFFFF"/>
        </w:rPr>
        <w:t xml:space="preserve"> </w:t>
      </w:r>
      <w:r w:rsidRPr="008D5892">
        <w:rPr>
          <w:rFonts w:ascii="Times New Roman" w:hAnsi="Times New Roman" w:cs="Times New Roman"/>
          <w:sz w:val="22"/>
          <w:szCs w:val="22"/>
        </w:rPr>
        <w:t>m</w:t>
      </w:r>
      <w:r w:rsidRPr="00451F2C">
        <w:rPr>
          <w:rFonts w:ascii="Times New Roman" w:hAnsi="Times New Roman" w:cs="Times New Roman"/>
          <w:sz w:val="22"/>
          <w:szCs w:val="22"/>
        </w:rPr>
        <w:t>etabolic dysfunction-associated steatotic liver disease.</w:t>
      </w:r>
    </w:p>
    <w:p w14:paraId="05AFC9B7" w14:textId="77777777" w:rsidR="0067415F" w:rsidRDefault="0067415F"/>
    <w:sectPr w:rsidR="0067415F" w:rsidSect="0020434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36"/>
    <w:rsid w:val="0003063C"/>
    <w:rsid w:val="0020434E"/>
    <w:rsid w:val="003114FA"/>
    <w:rsid w:val="004244E6"/>
    <w:rsid w:val="0067415F"/>
    <w:rsid w:val="00D9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CA2553-65B5-48F1-8ACD-EC9D6F37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0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0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0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0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0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0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0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0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0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0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03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uiPriority w:val="59"/>
    <w:qFormat/>
    <w:rsid w:val="003114F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2026-08-26T23:46:00Z</dcterms:created>
  <dcterms:modified xsi:type="dcterms:W3CDTF">2026-08-26T23:46:00Z</dcterms:modified>
</cp:coreProperties>
</file>