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284F" w14:textId="77777777" w:rsidR="00843A68" w:rsidRPr="008D5892" w:rsidRDefault="00843A68" w:rsidP="00843A68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b/>
          <w:bCs/>
          <w:sz w:val="22"/>
          <w:szCs w:val="22"/>
        </w:rPr>
        <w:t>Supplementary Table 11.</w:t>
      </w:r>
      <w:r w:rsidRPr="008D5892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OLE_LINK5"/>
      <w:r w:rsidRPr="008D5892">
        <w:rPr>
          <w:rFonts w:ascii="Times New Roman" w:hAnsi="Times New Roman" w:cs="Times New Roman"/>
          <w:sz w:val="22"/>
          <w:szCs w:val="22"/>
        </w:rPr>
        <w:t xml:space="preserve">Uni- </w:t>
      </w:r>
      <w:bookmarkEnd w:id="0"/>
      <w:r w:rsidRPr="008D5892">
        <w:rPr>
          <w:rFonts w:ascii="Times New Roman" w:hAnsi="Times New Roman" w:cs="Times New Roman"/>
          <w:sz w:val="22"/>
          <w:szCs w:val="22"/>
        </w:rPr>
        <w:t>and multivariate analyses to identify independent prognostic factors in the entire cohort.</w:t>
      </w:r>
    </w:p>
    <w:tbl>
      <w:tblPr>
        <w:tblStyle w:val="TableGrid"/>
        <w:tblW w:w="5000" w:type="pct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628"/>
        <w:gridCol w:w="1554"/>
        <w:gridCol w:w="779"/>
        <w:gridCol w:w="1409"/>
        <w:gridCol w:w="144"/>
        <w:gridCol w:w="780"/>
        <w:gridCol w:w="1445"/>
        <w:gridCol w:w="108"/>
        <w:gridCol w:w="657"/>
        <w:gridCol w:w="122"/>
        <w:gridCol w:w="1483"/>
        <w:gridCol w:w="73"/>
        <w:gridCol w:w="578"/>
        <w:gridCol w:w="200"/>
      </w:tblGrid>
      <w:tr w:rsidR="00843A68" w:rsidRPr="008D5892" w14:paraId="617C3240" w14:textId="77777777" w:rsidTr="00306465">
        <w:trPr>
          <w:gridAfter w:val="1"/>
          <w:wAfter w:w="77" w:type="pct"/>
          <w:trHeight w:hRule="exact" w:val="454"/>
        </w:trPr>
        <w:tc>
          <w:tcPr>
            <w:tcW w:w="1400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35452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Variable</w:t>
            </w:r>
          </w:p>
        </w:tc>
        <w:tc>
          <w:tcPr>
            <w:tcW w:w="1800" w:type="pct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A9C228" w14:textId="77777777" w:rsidR="00843A68" w:rsidRPr="00451F2C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Recurrence-free survival</w:t>
            </w:r>
          </w:p>
        </w:tc>
        <w:tc>
          <w:tcPr>
            <w:tcW w:w="1723" w:type="pct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8A30BA" w14:textId="77777777" w:rsidR="00843A68" w:rsidRPr="00451F2C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Overall survival</w:t>
            </w:r>
          </w:p>
        </w:tc>
      </w:tr>
      <w:tr w:rsidR="00843A68" w:rsidRPr="008D5892" w14:paraId="56F0D268" w14:textId="77777777" w:rsidTr="00306465">
        <w:trPr>
          <w:gridAfter w:val="1"/>
          <w:wAfter w:w="77" w:type="pct"/>
          <w:trHeight w:hRule="exact" w:val="454"/>
        </w:trPr>
        <w:tc>
          <w:tcPr>
            <w:tcW w:w="1400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4A0BA8E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21DCB6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Univariate analysis</w:t>
            </w:r>
          </w:p>
        </w:tc>
        <w:tc>
          <w:tcPr>
            <w:tcW w:w="9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1D072A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Multivariate analysis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A88FF3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Univariate analysis</w:t>
            </w:r>
          </w:p>
        </w:tc>
        <w:tc>
          <w:tcPr>
            <w:tcW w:w="8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A7583C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Multivariate analysis</w:t>
            </w:r>
          </w:p>
        </w:tc>
      </w:tr>
      <w:tr w:rsidR="00843A68" w:rsidRPr="008D5892" w14:paraId="5DB3B3E5" w14:textId="77777777" w:rsidTr="00306465">
        <w:trPr>
          <w:gridAfter w:val="1"/>
          <w:wAfter w:w="77" w:type="pct"/>
          <w:trHeight w:hRule="exact" w:val="454"/>
        </w:trPr>
        <w:tc>
          <w:tcPr>
            <w:tcW w:w="140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FC4CD19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6BFD38CE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HR (95%CI)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6C79396F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C40521">
              <w:rPr>
                <w:i/>
                <w:iCs/>
                <w:szCs w:val="21"/>
              </w:rPr>
              <w:t>P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019D483F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HR (95%CI)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09E9422D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C40521">
              <w:rPr>
                <w:i/>
                <w:iCs/>
                <w:szCs w:val="21"/>
              </w:rPr>
              <w:t>P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49C6F0C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HR (95%CI)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105CF545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C40521">
              <w:rPr>
                <w:i/>
                <w:iCs/>
                <w:szCs w:val="21"/>
              </w:rPr>
              <w:t>P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93A0206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szCs w:val="21"/>
              </w:rPr>
            </w:pPr>
            <w:r w:rsidRPr="00C40521">
              <w:rPr>
                <w:szCs w:val="21"/>
              </w:rPr>
              <w:t>HR (95%CI)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</w:tcPr>
          <w:p w14:paraId="216C9598" w14:textId="77777777" w:rsidR="00843A68" w:rsidRPr="00C40521" w:rsidRDefault="00843A68" w:rsidP="00306465">
            <w:pPr>
              <w:spacing w:beforeLines="50" w:before="120" w:afterLines="50" w:after="120"/>
              <w:jc w:val="center"/>
              <w:textAlignment w:val="center"/>
              <w:rPr>
                <w:i/>
                <w:iCs/>
                <w:szCs w:val="21"/>
              </w:rPr>
            </w:pPr>
            <w:r w:rsidRPr="00C40521">
              <w:rPr>
                <w:i/>
                <w:iCs/>
                <w:szCs w:val="21"/>
              </w:rPr>
              <w:t>P</w:t>
            </w:r>
          </w:p>
        </w:tc>
      </w:tr>
      <w:tr w:rsidR="00843A68" w:rsidRPr="008D5892" w14:paraId="6D9169D3" w14:textId="77777777" w:rsidTr="00306465">
        <w:trPr>
          <w:trHeight w:hRule="exact" w:val="454"/>
        </w:trPr>
        <w:tc>
          <w:tcPr>
            <w:tcW w:w="1400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09439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Age, yrs (&lt;60 vs ≥60)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871D05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0.84 (0.67–1.05)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5151879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0.128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FCAC53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0FC3B9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7864E8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0.87 (0.63–1.19)</w:t>
            </w:r>
          </w:p>
        </w:tc>
        <w:tc>
          <w:tcPr>
            <w:tcW w:w="3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67F0F2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0.379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5375D01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9BC082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1E6CE1AD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7E95C38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Sex (male vs female)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27BFAD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1.04 (0.80–1.36)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523B3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0.743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B62FD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55AE4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0AF67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1.04 (0.71–1.51)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9D061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0.840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FEDA2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03B61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0B81CBC6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521A7D8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HBsAg (positive vs negative)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4F133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1.03 (0.84–1.28)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DA0F70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0.752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319D6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70A52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7BB09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0.99 (0.73–1.23)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3357C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0.924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1BAF29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FA46F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0C46C13B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0D73347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Antivirus therapy (presence vs absence)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F676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0.96 (0.83</w:t>
            </w:r>
            <w:r w:rsidRPr="00C40521">
              <w:rPr>
                <w:szCs w:val="21"/>
              </w:rPr>
              <w:t>–1.</w:t>
            </w:r>
            <w:r w:rsidRPr="00451F2C">
              <w:rPr>
                <w:szCs w:val="21"/>
              </w:rPr>
              <w:t>11)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FD06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0.593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A2F3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3501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451C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1.13 (0.92</w:t>
            </w:r>
            <w:r w:rsidRPr="00C40521">
              <w:rPr>
                <w:szCs w:val="21"/>
              </w:rPr>
              <w:t>–1.</w:t>
            </w:r>
            <w:r w:rsidRPr="00451F2C">
              <w:rPr>
                <w:szCs w:val="21"/>
              </w:rPr>
              <w:t>38)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22DD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0.234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45B5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08C65" w14:textId="77777777" w:rsidR="00843A68" w:rsidRPr="00451F2C" w:rsidRDefault="00843A68" w:rsidP="00306465">
            <w:pPr>
              <w:jc w:val="center"/>
              <w:rPr>
                <w:szCs w:val="21"/>
              </w:rPr>
            </w:pPr>
          </w:p>
        </w:tc>
      </w:tr>
      <w:tr w:rsidR="00843A68" w:rsidRPr="008D5892" w14:paraId="0D0B0E25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116FB34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AFP, ng/ml (≥400 vs &lt;400)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3E53A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1.38 (1.16–1.65)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1C473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E429F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1.23 (1.02–1.27)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2B030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0.027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1F3D7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1.45 (1.13–1.85)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86D57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89DD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1.29 (1.01–1.67)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BDF8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0.049</w:t>
            </w:r>
          </w:p>
        </w:tc>
      </w:tr>
      <w:tr w:rsidR="00843A68" w:rsidRPr="008D5892" w14:paraId="38E952C8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7C2A5B9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ECOG PS (1 vs 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08618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1.10 (0.89–1.38)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9288B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0.379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943E1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1F86E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87E1F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1.29 (0.96–1.72)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F5104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0.090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7E79B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0F457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53FF6AB4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6A1986F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Child-Pugh grade (B vs A)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5C8AE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1.32 (0.98–1.78)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4A78F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0.063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0F980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48783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38EC3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1.36 (0.92–2.02)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CAB4B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0.122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8406A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FF3E2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843A68" w:rsidRPr="008D5892" w14:paraId="26CBD509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08AD58C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color w:val="000000"/>
                <w:szCs w:val="21"/>
              </w:rPr>
              <w:t>Albumin-bilirubin grade (1 vs 2/3)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32A40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0.64 (0.33–1.25)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CB781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0.190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C9B74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892B3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4B793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0.67 (0.27–1.66)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76925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0.392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D8FF8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CEC0E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843A68" w:rsidRPr="008D5892" w14:paraId="768D5459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74B86FB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Liver cirrhosis (presence vs absence)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A1C6B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1.06 (0.87–1.30)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507BF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color w:val="FF0000"/>
                <w:szCs w:val="21"/>
              </w:rPr>
            </w:pPr>
            <w:r w:rsidRPr="00451F2C">
              <w:rPr>
                <w:szCs w:val="21"/>
              </w:rPr>
              <w:t>0.551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B1BD9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AC3A06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EC5E3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0.94 (0.71–1.24)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E7279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0.663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E5B95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05474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</w:p>
        </w:tc>
      </w:tr>
      <w:tr w:rsidR="00843A68" w:rsidRPr="008D5892" w14:paraId="417E8455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26E9D27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MASLD (absence vs presence)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3B197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0.93 (0.73–1.19)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D4D7B1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0.569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791C6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440BA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7F531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0.78 (0.53–1.14)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A3824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0.197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C8DCD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CD0D2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4E986C83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2DA791B0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Tumor size (cm)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8CDA7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1.04 (1.02–1.07)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A6C72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33D40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1.01 (0.98–1.03)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5AD43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0.629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8CCFA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1.04 (1.01–1.08)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06E29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0.017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2F287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1.01 (0.97–1.04)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317D1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0.655</w:t>
            </w:r>
          </w:p>
        </w:tc>
      </w:tr>
      <w:tr w:rsidR="00843A68" w:rsidRPr="008D5892" w14:paraId="5864D263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4887CE4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Tumor number (1 vs ≥2)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01813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0.70 (0.55–0.90)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C5F0E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0.005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B74E9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0.58 (0.40–0.83)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4EE90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0.003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4F444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0.82 (0.58–1.16)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FC411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0.255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5A30F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15B8F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56A47201" w14:textId="77777777" w:rsidTr="00306465">
        <w:trPr>
          <w:trHeight w:hRule="exact" w:val="737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2EE7FBD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Macrovascular invasion (presence vs absence)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B4C20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1.57 (1.28–1.93)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83F0A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B4821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1.33 (0.94–1.88)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EFD8E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0.105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616F0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1.73 (1.31–2.28)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EE7B6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01CA6F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1.37 (0.87–2.18)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BFC2E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0.191</w:t>
            </w:r>
          </w:p>
        </w:tc>
      </w:tr>
      <w:tr w:rsidR="00843A68" w:rsidRPr="008D5892" w14:paraId="1BF9CDF0" w14:textId="77777777" w:rsidTr="00306465">
        <w:trPr>
          <w:trHeight w:hRule="exact" w:val="712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7DB66DA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Microvascular invasion (presence vs absence)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99589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1.60 (1.35–1.91)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7E95AA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4857F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1.54 (1.28–1.84)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62A22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F27CD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1.58 (1.23–2.02)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AC2E6D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7E022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1.43 (1.10–1.86)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24B9D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0.007</w:t>
            </w:r>
          </w:p>
        </w:tc>
      </w:tr>
      <w:tr w:rsidR="00843A68" w:rsidRPr="008D5892" w14:paraId="72EEFCA7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595E347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Edmondson-Steiner grade (III–IV vs I–II)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0EF3D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1.24 (1.04–1.48)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AD9E07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0.016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94565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1.17 (0.98–1.40)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C16C1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szCs w:val="21"/>
              </w:rPr>
              <w:t>0.075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5BE34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1.21 (0.95–1.55)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2AF4A1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0.127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F7BC9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0B19F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18B34891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555F8528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lastRenderedPageBreak/>
              <w:t>Resection margin (≥1cm vs &lt;1cm)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843E5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0.91 (0.76–1.09)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58CEF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0.293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8FCD9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8FB3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ADD9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1.20 (0.94–1.54)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333C2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0.151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56DC5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105A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</w:p>
        </w:tc>
      </w:tr>
      <w:tr w:rsidR="00843A68" w:rsidRPr="008D5892" w14:paraId="23F96B8A" w14:textId="77777777" w:rsidTr="00306465">
        <w:trPr>
          <w:trHeight w:hRule="exact" w:val="454"/>
        </w:trPr>
        <w:tc>
          <w:tcPr>
            <w:tcW w:w="14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F3952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Adjuvant therapy (presence vs absence)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BAEC986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0.82 (0.58–0.89)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B75DBEA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0.003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3828FBB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0.61 (0.48–0.76)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2D0A5BE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b/>
                <w:bCs/>
                <w:szCs w:val="21"/>
              </w:rPr>
              <w:t>&lt;0.001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733553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0.71 (0.52–0.97)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3D1A00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0.030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BF5BF9C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szCs w:val="21"/>
              </w:rPr>
            </w:pPr>
            <w:r w:rsidRPr="00451F2C">
              <w:rPr>
                <w:szCs w:val="21"/>
              </w:rPr>
              <w:t>0.66 (0.48–0.90)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DC46F94" w14:textId="77777777" w:rsidR="00843A68" w:rsidRPr="00451F2C" w:rsidRDefault="00843A68" w:rsidP="00306465">
            <w:pPr>
              <w:spacing w:beforeLines="50" w:before="120" w:afterLines="50" w:after="120"/>
              <w:textAlignment w:val="center"/>
              <w:rPr>
                <w:b/>
                <w:bCs/>
                <w:szCs w:val="21"/>
              </w:rPr>
            </w:pPr>
            <w:r w:rsidRPr="00451F2C">
              <w:rPr>
                <w:b/>
                <w:bCs/>
                <w:szCs w:val="21"/>
              </w:rPr>
              <w:t>0.008</w:t>
            </w:r>
          </w:p>
        </w:tc>
      </w:tr>
    </w:tbl>
    <w:p w14:paraId="329F60D4" w14:textId="77777777" w:rsidR="00843A68" w:rsidRPr="008D5892" w:rsidRDefault="00843A68" w:rsidP="00843A68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sz w:val="22"/>
          <w:szCs w:val="22"/>
        </w:rPr>
        <w:t>Bold text indicates statistically significant differences (P&lt;0.05).</w:t>
      </w:r>
      <w:r w:rsidRPr="00451F2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527ABC" w14:textId="77777777" w:rsidR="00843A68" w:rsidRPr="008D5892" w:rsidRDefault="00843A68" w:rsidP="00843A68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451F2C">
        <w:rPr>
          <w:rFonts w:ascii="Times New Roman" w:hAnsi="Times New Roman" w:cs="Times New Roman"/>
          <w:sz w:val="22"/>
          <w:szCs w:val="22"/>
        </w:rPr>
        <w:t>AFP,</w:t>
      </w:r>
      <w:r w:rsidRPr="008D5892">
        <w:rPr>
          <w:rFonts w:ascii="Times New Roman" w:eastAsia="SimSun" w:hAnsi="Times New Roman" w:cs="Times New Roman"/>
          <w:bCs/>
          <w:color w:val="000000"/>
          <w:sz w:val="22"/>
          <w:szCs w:val="22"/>
        </w:rPr>
        <w:t xml:space="preserve"> alpha-fetoprotein</w:t>
      </w:r>
      <w:r w:rsidRPr="00451F2C">
        <w:rPr>
          <w:rFonts w:ascii="Times New Roman" w:hAnsi="Times New Roman" w:cs="Times New Roman"/>
          <w:sz w:val="22"/>
          <w:szCs w:val="22"/>
        </w:rPr>
        <w:t>;</w:t>
      </w:r>
      <w:r w:rsidRPr="00451F2C">
        <w:rPr>
          <w:rFonts w:ascii="Times New Roman" w:eastAsia="SimSu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8D5892">
        <w:rPr>
          <w:rFonts w:ascii="Times New Roman" w:hAnsi="Times New Roman" w:cs="Times New Roman"/>
          <w:sz w:val="22"/>
          <w:szCs w:val="22"/>
        </w:rPr>
        <w:t xml:space="preserve">CI, confidence interval; </w:t>
      </w:r>
      <w:r w:rsidRPr="00451F2C">
        <w:rPr>
          <w:rFonts w:ascii="Times New Roman" w:hAnsi="Times New Roman" w:cs="Times New Roman"/>
          <w:sz w:val="22"/>
          <w:szCs w:val="22"/>
        </w:rPr>
        <w:t>ECOG PS,</w:t>
      </w:r>
      <w:r w:rsidRPr="008D5892">
        <w:rPr>
          <w:rFonts w:ascii="Times New Roman" w:eastAsia="SimSun" w:hAnsi="Times New Roman" w:cs="Times New Roman"/>
          <w:color w:val="000000"/>
          <w:sz w:val="22"/>
          <w:szCs w:val="22"/>
        </w:rPr>
        <w:t xml:space="preserve"> Eastern Cooperative Oncology Group Performance Status</w:t>
      </w:r>
      <w:r w:rsidRPr="00451F2C">
        <w:rPr>
          <w:rFonts w:ascii="Times New Roman" w:hAnsi="Times New Roman" w:cs="Times New Roman"/>
          <w:sz w:val="22"/>
          <w:szCs w:val="22"/>
        </w:rPr>
        <w:t xml:space="preserve">; </w:t>
      </w:r>
      <w:r w:rsidRPr="008D5892">
        <w:rPr>
          <w:rFonts w:ascii="Times New Roman" w:hAnsi="Times New Roman" w:cs="Times New Roman"/>
          <w:sz w:val="22"/>
          <w:szCs w:val="22"/>
        </w:rPr>
        <w:t>HBsAg, hepatitis B virus surface antigen; HBV, hepatitis B virus; HR, hazard ratio</w:t>
      </w:r>
      <w:r w:rsidRPr="00451F2C">
        <w:rPr>
          <w:rFonts w:ascii="Times New Roman" w:hAnsi="Times New Roman" w:cs="Times New Roman"/>
          <w:sz w:val="22"/>
          <w:szCs w:val="22"/>
        </w:rPr>
        <w:t>; MASLD,</w:t>
      </w:r>
      <w:r w:rsidRPr="00451F2C">
        <w:rPr>
          <w:rFonts w:ascii="Times New Roman" w:eastAsia="Microsoft YaHei UI" w:hAnsi="Times New Roman" w:cs="Times New Roman"/>
          <w:spacing w:val="8"/>
          <w:shd w:val="clear" w:color="auto" w:fill="FFFFFF"/>
        </w:rPr>
        <w:t xml:space="preserve"> </w:t>
      </w:r>
      <w:r w:rsidRPr="008D5892">
        <w:rPr>
          <w:rFonts w:ascii="Times New Roman" w:hAnsi="Times New Roman" w:cs="Times New Roman"/>
          <w:sz w:val="22"/>
          <w:szCs w:val="22"/>
        </w:rPr>
        <w:t>m</w:t>
      </w:r>
      <w:r w:rsidRPr="00451F2C">
        <w:rPr>
          <w:rFonts w:ascii="Times New Roman" w:hAnsi="Times New Roman" w:cs="Times New Roman"/>
          <w:sz w:val="22"/>
          <w:szCs w:val="22"/>
        </w:rPr>
        <w:t>etabolic dysfunction-associated steatotic liver disease.</w:t>
      </w:r>
    </w:p>
    <w:p w14:paraId="5017D622" w14:textId="77777777" w:rsidR="0067415F" w:rsidRDefault="0067415F"/>
    <w:sectPr w:rsidR="0067415F" w:rsidSect="0058154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44"/>
    <w:rsid w:val="0003063C"/>
    <w:rsid w:val="004244E6"/>
    <w:rsid w:val="00581540"/>
    <w:rsid w:val="0067415F"/>
    <w:rsid w:val="007E4144"/>
    <w:rsid w:val="0084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FAC975-FD47-42AF-8D78-167CB287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1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843A6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2026-08-26T23:46:00Z</dcterms:created>
  <dcterms:modified xsi:type="dcterms:W3CDTF">2026-08-26T23:46:00Z</dcterms:modified>
</cp:coreProperties>
</file>