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343BD" w14:textId="77777777" w:rsidR="00D626B6" w:rsidRPr="008D5892" w:rsidRDefault="00D626B6" w:rsidP="00D626B6">
      <w:pPr>
        <w:spacing w:line="360" w:lineRule="auto"/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t>Supplementary Table 7.</w:t>
      </w:r>
      <w:r w:rsidRPr="008D5892"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  <w:t xml:space="preserve"> Recurrence-free survival in the two groups after the indicated statistical procedure</w:t>
      </w:r>
      <w:r w:rsidRPr="001B3957">
        <w:rPr>
          <w:rFonts w:ascii="Times New Roman" w:eastAsia="DengXian" w:hAnsi="Times New Roman" w:cs="Times New Roman"/>
          <w:color w:val="000000"/>
          <w:kern w:val="0"/>
          <w:sz w:val="22"/>
          <w:szCs w:val="22"/>
        </w:rPr>
        <w:t>.</w:t>
      </w:r>
    </w:p>
    <w:tbl>
      <w:tblPr>
        <w:tblStyle w:val="TableGrid"/>
        <w:tblW w:w="4998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260"/>
        <w:gridCol w:w="1977"/>
        <w:gridCol w:w="1739"/>
        <w:gridCol w:w="1152"/>
        <w:gridCol w:w="1115"/>
        <w:gridCol w:w="1113"/>
      </w:tblGrid>
      <w:tr w:rsidR="00D626B6" w:rsidRPr="001B3957" w14:paraId="03AB9850" w14:textId="77777777" w:rsidTr="00306465">
        <w:tc>
          <w:tcPr>
            <w:tcW w:w="12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A8A9E" w14:textId="77777777" w:rsidR="00D626B6" w:rsidRPr="008D5892" w:rsidRDefault="00D626B6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8D5892">
              <w:rPr>
                <w:b/>
                <w:bCs/>
                <w:sz w:val="18"/>
                <w:szCs w:val="18"/>
              </w:rPr>
              <w:t>Statistical treatment</w:t>
            </w:r>
          </w:p>
        </w:tc>
        <w:tc>
          <w:tcPr>
            <w:tcW w:w="10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4AAE3" w14:textId="77777777" w:rsidR="00D626B6" w:rsidRPr="008D5892" w:rsidRDefault="00D626B6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8D5892">
              <w:rPr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9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C97FC" w14:textId="77777777" w:rsidR="00D626B6" w:rsidRPr="008D5892" w:rsidRDefault="00D626B6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8D5892">
              <w:rPr>
                <w:b/>
                <w:bCs/>
                <w:sz w:val="18"/>
                <w:szCs w:val="18"/>
              </w:rPr>
              <w:t>Median (95% CI)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F905D" w14:textId="77777777" w:rsidR="00D626B6" w:rsidRPr="008D5892" w:rsidRDefault="00D626B6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1B3957">
              <w:rPr>
                <w:b/>
                <w:bCs/>
                <w:sz w:val="18"/>
                <w:szCs w:val="18"/>
              </w:rPr>
              <w:t>12</w:t>
            </w:r>
            <w:r w:rsidRPr="008D5892">
              <w:rPr>
                <w:b/>
                <w:bCs/>
                <w:sz w:val="18"/>
                <w:szCs w:val="18"/>
              </w:rPr>
              <w:t xml:space="preserve"> months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21654" w14:textId="77777777" w:rsidR="00D626B6" w:rsidRPr="008D5892" w:rsidRDefault="00D626B6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1B3957">
              <w:rPr>
                <w:b/>
                <w:bCs/>
                <w:sz w:val="18"/>
                <w:szCs w:val="18"/>
              </w:rPr>
              <w:t>24</w:t>
            </w:r>
            <w:r w:rsidRPr="008D5892">
              <w:rPr>
                <w:b/>
                <w:bCs/>
                <w:sz w:val="18"/>
                <w:szCs w:val="18"/>
              </w:rPr>
              <w:t xml:space="preserve"> months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F667D" w14:textId="77777777" w:rsidR="00D626B6" w:rsidRPr="008D5892" w:rsidRDefault="00D626B6" w:rsidP="003064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1B3957">
              <w:rPr>
                <w:b/>
                <w:bCs/>
                <w:sz w:val="18"/>
                <w:szCs w:val="18"/>
              </w:rPr>
              <w:t>36</w:t>
            </w:r>
            <w:r w:rsidRPr="008D5892">
              <w:rPr>
                <w:b/>
                <w:bCs/>
                <w:sz w:val="18"/>
                <w:szCs w:val="18"/>
              </w:rPr>
              <w:t xml:space="preserve"> months</w:t>
            </w:r>
          </w:p>
        </w:tc>
      </w:tr>
      <w:tr w:rsidR="00D626B6" w:rsidRPr="001B3957" w14:paraId="2F74B2E2" w14:textId="77777777" w:rsidTr="00306465">
        <w:tc>
          <w:tcPr>
            <w:tcW w:w="1207" w:type="pct"/>
            <w:vMerge w:val="restart"/>
            <w:tcBorders>
              <w:top w:val="single" w:sz="4" w:space="0" w:color="auto"/>
            </w:tcBorders>
            <w:vAlign w:val="center"/>
          </w:tcPr>
          <w:p w14:paraId="68FEF2CD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 xml:space="preserve">None (entire cohort) 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vAlign w:val="center"/>
          </w:tcPr>
          <w:p w14:paraId="17B59617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Adjuvant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2C4BAE3F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B3957">
              <w:rPr>
                <w:sz w:val="18"/>
                <w:szCs w:val="18"/>
              </w:rPr>
              <w:t xml:space="preserve">27.0 </w:t>
            </w:r>
            <w:r w:rsidRPr="008D5892">
              <w:rPr>
                <w:sz w:val="18"/>
                <w:szCs w:val="18"/>
              </w:rPr>
              <w:t>(</w:t>
            </w:r>
            <w:r w:rsidRPr="001B3957">
              <w:rPr>
                <w:sz w:val="18"/>
                <w:szCs w:val="18"/>
              </w:rPr>
              <w:t>21.0</w:t>
            </w:r>
            <w:r>
              <w:rPr>
                <w:sz w:val="18"/>
                <w:szCs w:val="18"/>
              </w:rPr>
              <w:t>–</w:t>
            </w:r>
            <w:r w:rsidRPr="001B3957">
              <w:rPr>
                <w:sz w:val="18"/>
                <w:szCs w:val="18"/>
              </w:rPr>
              <w:t>33.1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6E688212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B3957">
              <w:rPr>
                <w:sz w:val="18"/>
                <w:szCs w:val="18"/>
              </w:rPr>
              <w:t>70.9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3A52EEEA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B3957">
              <w:rPr>
                <w:sz w:val="18"/>
                <w:szCs w:val="18"/>
              </w:rPr>
              <w:t>56.2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14:paraId="1AA462F3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B3957">
              <w:rPr>
                <w:sz w:val="18"/>
                <w:szCs w:val="18"/>
              </w:rPr>
              <w:t>43.3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8D5892" w14:paraId="7DBCE73C" w14:textId="77777777" w:rsidTr="00306465">
        <w:tc>
          <w:tcPr>
            <w:tcW w:w="1207" w:type="pct"/>
            <w:vMerge/>
            <w:tcBorders>
              <w:bottom w:val="single" w:sz="4" w:space="0" w:color="auto"/>
            </w:tcBorders>
            <w:vAlign w:val="center"/>
          </w:tcPr>
          <w:p w14:paraId="2AFF6131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bottom w:val="single" w:sz="4" w:space="0" w:color="auto"/>
            </w:tcBorders>
            <w:vAlign w:val="center"/>
          </w:tcPr>
          <w:p w14:paraId="22406D85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Active surveillance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1CB63D31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B3957">
              <w:rPr>
                <w:sz w:val="18"/>
                <w:szCs w:val="18"/>
              </w:rPr>
              <w:t>18.9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1B3957">
              <w:rPr>
                <w:sz w:val="18"/>
                <w:szCs w:val="18"/>
              </w:rPr>
              <w:t>15.5</w:t>
            </w:r>
            <w:r>
              <w:rPr>
                <w:sz w:val="18"/>
                <w:szCs w:val="18"/>
              </w:rPr>
              <w:t>–</w:t>
            </w:r>
            <w:r w:rsidRPr="001B3957">
              <w:rPr>
                <w:sz w:val="18"/>
                <w:szCs w:val="18"/>
              </w:rPr>
              <w:t>22.4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16564B48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61.2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0792D1C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45.2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686000E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36.6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8D5892" w14:paraId="382663A8" w14:textId="77777777" w:rsidTr="00306465">
        <w:tc>
          <w:tcPr>
            <w:tcW w:w="1207" w:type="pct"/>
            <w:vMerge w:val="restart"/>
            <w:tcBorders>
              <w:top w:val="single" w:sz="4" w:space="0" w:color="auto"/>
            </w:tcBorders>
            <w:vAlign w:val="center"/>
          </w:tcPr>
          <w:p w14:paraId="52FFD3F2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Propensity score-matching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vAlign w:val="center"/>
          </w:tcPr>
          <w:p w14:paraId="3B72BB2A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Adjuvant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3B830257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28.0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21.7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34.3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2BFD9368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70.2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3A0CC16B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55.1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14:paraId="1664E809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42.5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8D5892" w14:paraId="18EB7DC6" w14:textId="77777777" w:rsidTr="00306465">
        <w:tc>
          <w:tcPr>
            <w:tcW w:w="1207" w:type="pct"/>
            <w:vMerge/>
            <w:tcBorders>
              <w:bottom w:val="single" w:sz="4" w:space="0" w:color="auto"/>
            </w:tcBorders>
            <w:vAlign w:val="center"/>
          </w:tcPr>
          <w:p w14:paraId="33C9FB53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bottom w:val="single" w:sz="4" w:space="0" w:color="auto"/>
            </w:tcBorders>
            <w:vAlign w:val="center"/>
          </w:tcPr>
          <w:p w14:paraId="66BB6A1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Active surveillance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3EE173AE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14.4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10.7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18.1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6A1FC20F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56.2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5F64B035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3</w:t>
            </w:r>
            <w:r w:rsidRPr="00451F2C">
              <w:rPr>
                <w:sz w:val="18"/>
                <w:szCs w:val="18"/>
              </w:rPr>
              <w:t>6.6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34C8DDA3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27.1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451F2C" w14:paraId="50C67F51" w14:textId="77777777" w:rsidTr="00306465">
        <w:tc>
          <w:tcPr>
            <w:tcW w:w="1207" w:type="pct"/>
            <w:vMerge w:val="restart"/>
            <w:tcBorders>
              <w:top w:val="single" w:sz="4" w:space="0" w:color="auto"/>
            </w:tcBorders>
            <w:vAlign w:val="center"/>
          </w:tcPr>
          <w:p w14:paraId="1D44DA51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 xml:space="preserve">Non-censored 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vAlign w:val="center"/>
          </w:tcPr>
          <w:p w14:paraId="7578108B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Adjuvant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1A1F8A67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31.8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22.5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41.0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470D4618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71.0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6346D4CB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57.1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14:paraId="2F5E53ED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47.5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451F2C" w14:paraId="27A77BDD" w14:textId="77777777" w:rsidTr="00306465">
        <w:tc>
          <w:tcPr>
            <w:tcW w:w="1207" w:type="pct"/>
            <w:vMerge/>
            <w:tcBorders>
              <w:bottom w:val="single" w:sz="4" w:space="0" w:color="auto"/>
            </w:tcBorders>
            <w:vAlign w:val="center"/>
          </w:tcPr>
          <w:p w14:paraId="6A0F268E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bottom w:val="single" w:sz="4" w:space="0" w:color="auto"/>
            </w:tcBorders>
            <w:vAlign w:val="center"/>
          </w:tcPr>
          <w:p w14:paraId="62471783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Active surveillance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5C5DD51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19.7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16.0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23.5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16C44DF7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61.4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03EFAD37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45.9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CD4B81A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38.4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8D5892" w14:paraId="45BC4D6E" w14:textId="77777777" w:rsidTr="00306465">
        <w:tc>
          <w:tcPr>
            <w:tcW w:w="1207" w:type="pct"/>
            <w:vMerge w:val="restart"/>
            <w:tcBorders>
              <w:top w:val="single" w:sz="4" w:space="0" w:color="auto"/>
            </w:tcBorders>
            <w:vAlign w:val="center"/>
          </w:tcPr>
          <w:p w14:paraId="5F478C86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Coarsened exact matching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vAlign w:val="center"/>
          </w:tcPr>
          <w:p w14:paraId="56E6D635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Adjuvant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70B48DD0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20.3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14.2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26.6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59B1473E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61.6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0106F7E9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47.8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14:paraId="036145B8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37.9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8D5892" w14:paraId="14205BE5" w14:textId="77777777" w:rsidTr="00306465">
        <w:tc>
          <w:tcPr>
            <w:tcW w:w="1207" w:type="pct"/>
            <w:vMerge/>
            <w:tcBorders>
              <w:bottom w:val="single" w:sz="4" w:space="0" w:color="auto"/>
            </w:tcBorders>
            <w:vAlign w:val="center"/>
          </w:tcPr>
          <w:p w14:paraId="63F35307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56" w:type="pct"/>
            <w:tcBorders>
              <w:bottom w:val="single" w:sz="4" w:space="0" w:color="auto"/>
            </w:tcBorders>
            <w:vAlign w:val="center"/>
          </w:tcPr>
          <w:p w14:paraId="08C51ADF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Active surveillance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0CA4A300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15.0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11.7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18.3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230DDD2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58.9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65E97303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3</w:t>
            </w:r>
            <w:r w:rsidRPr="00451F2C">
              <w:rPr>
                <w:sz w:val="18"/>
                <w:szCs w:val="18"/>
              </w:rPr>
              <w:t>8.4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7EE1820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27.1</w:t>
            </w:r>
            <w:r w:rsidRPr="008D5892">
              <w:rPr>
                <w:sz w:val="18"/>
                <w:szCs w:val="18"/>
              </w:rPr>
              <w:t>%</w:t>
            </w:r>
          </w:p>
        </w:tc>
      </w:tr>
      <w:tr w:rsidR="00D626B6" w:rsidRPr="008D5892" w14:paraId="1FA661C9" w14:textId="77777777" w:rsidTr="00306465">
        <w:tc>
          <w:tcPr>
            <w:tcW w:w="1207" w:type="pct"/>
            <w:vMerge w:val="restart"/>
            <w:tcBorders>
              <w:top w:val="single" w:sz="4" w:space="0" w:color="auto"/>
            </w:tcBorders>
            <w:vAlign w:val="center"/>
          </w:tcPr>
          <w:p w14:paraId="3872129E" w14:textId="77777777" w:rsidR="00D626B6" w:rsidRPr="008D5892" w:rsidRDefault="00D626B6" w:rsidP="00306465">
            <w:pPr>
              <w:spacing w:line="360" w:lineRule="auto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Stabilized inverse probability of treatment weighting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vAlign w:val="center"/>
          </w:tcPr>
          <w:p w14:paraId="0B411A9B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Adjuvant</w:t>
            </w:r>
          </w:p>
        </w:tc>
        <w:tc>
          <w:tcPr>
            <w:tcW w:w="929" w:type="pct"/>
            <w:tcBorders>
              <w:top w:val="single" w:sz="4" w:space="0" w:color="auto"/>
            </w:tcBorders>
            <w:vAlign w:val="center"/>
          </w:tcPr>
          <w:p w14:paraId="5BA672AA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30.4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23.0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46.0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1B89D31B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71.8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1174632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58.5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14:paraId="390C15A0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45</w:t>
            </w:r>
            <w:r w:rsidRPr="008D5892">
              <w:rPr>
                <w:sz w:val="18"/>
                <w:szCs w:val="18"/>
              </w:rPr>
              <w:t>.2%</w:t>
            </w:r>
          </w:p>
        </w:tc>
      </w:tr>
      <w:tr w:rsidR="00D626B6" w:rsidRPr="008D5892" w14:paraId="4B83125A" w14:textId="77777777" w:rsidTr="00306465">
        <w:tc>
          <w:tcPr>
            <w:tcW w:w="1207" w:type="pct"/>
            <w:vMerge/>
            <w:tcBorders>
              <w:bottom w:val="single" w:sz="4" w:space="0" w:color="auto"/>
            </w:tcBorders>
            <w:vAlign w:val="center"/>
          </w:tcPr>
          <w:p w14:paraId="4D021A82" w14:textId="77777777" w:rsidR="00D626B6" w:rsidRPr="008D5892" w:rsidRDefault="00D626B6" w:rsidP="00306465">
            <w:pPr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6" w:type="pct"/>
            <w:tcBorders>
              <w:bottom w:val="single" w:sz="4" w:space="0" w:color="auto"/>
            </w:tcBorders>
            <w:vAlign w:val="center"/>
          </w:tcPr>
          <w:p w14:paraId="64BFD9CC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8D5892">
              <w:rPr>
                <w:sz w:val="18"/>
                <w:szCs w:val="18"/>
              </w:rPr>
              <w:t>Active surveillance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vAlign w:val="center"/>
          </w:tcPr>
          <w:p w14:paraId="2F13488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18.2</w:t>
            </w:r>
            <w:r w:rsidRPr="008D5892">
              <w:rPr>
                <w:sz w:val="18"/>
                <w:szCs w:val="18"/>
              </w:rPr>
              <w:t xml:space="preserve"> (</w:t>
            </w:r>
            <w:r w:rsidRPr="00451F2C">
              <w:rPr>
                <w:sz w:val="18"/>
                <w:szCs w:val="18"/>
              </w:rPr>
              <w:t>15.1</w:t>
            </w:r>
            <w:r>
              <w:rPr>
                <w:sz w:val="18"/>
                <w:szCs w:val="18"/>
              </w:rPr>
              <w:t>–</w:t>
            </w:r>
            <w:r w:rsidRPr="00451F2C">
              <w:rPr>
                <w:sz w:val="18"/>
                <w:szCs w:val="18"/>
              </w:rPr>
              <w:t>21.5</w:t>
            </w:r>
            <w:r w:rsidRPr="008D5892">
              <w:rPr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11D1CEE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60.9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38FAB9A0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42.6</w:t>
            </w:r>
            <w:r w:rsidRPr="008D5892">
              <w:rPr>
                <w:sz w:val="18"/>
                <w:szCs w:val="18"/>
              </w:rPr>
              <w:t>%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5AFFCD4" w14:textId="77777777" w:rsidR="00D626B6" w:rsidRPr="008D5892" w:rsidRDefault="00D626B6" w:rsidP="0030646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51F2C">
              <w:rPr>
                <w:sz w:val="18"/>
                <w:szCs w:val="18"/>
              </w:rPr>
              <w:t>37.9</w:t>
            </w:r>
            <w:r w:rsidRPr="008D5892">
              <w:rPr>
                <w:sz w:val="18"/>
                <w:szCs w:val="18"/>
              </w:rPr>
              <w:t>%</w:t>
            </w:r>
          </w:p>
        </w:tc>
      </w:tr>
    </w:tbl>
    <w:p w14:paraId="0DD305D3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3D"/>
    <w:rsid w:val="0003063C"/>
    <w:rsid w:val="004244E6"/>
    <w:rsid w:val="0067415F"/>
    <w:rsid w:val="00926F3D"/>
    <w:rsid w:val="00D6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61F0A8-049E-44D1-9AB3-1351381F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6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F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F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6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6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6F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F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6F3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D626B6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2026-08-26T23:45:00Z</dcterms:created>
  <dcterms:modified xsi:type="dcterms:W3CDTF">2026-08-26T23:45:00Z</dcterms:modified>
</cp:coreProperties>
</file>