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E23D0" w14:textId="77777777" w:rsidR="005711BE" w:rsidRPr="008D5892" w:rsidRDefault="005711BE" w:rsidP="005711BE">
      <w:pPr>
        <w:keepNext/>
        <w:tabs>
          <w:tab w:val="left" w:pos="5285"/>
        </w:tabs>
        <w:spacing w:before="240" w:after="60"/>
        <w:outlineLvl w:val="0"/>
        <w:rPr>
          <w:rFonts w:ascii="Times New Roman" w:eastAsia="DengXian" w:hAnsi="Times New Roman" w:cs="Times New Roman"/>
          <w:b/>
          <w:bCs/>
          <w:kern w:val="32"/>
          <w:sz w:val="22"/>
          <w:szCs w:val="22"/>
        </w:rPr>
      </w:pPr>
      <w:bookmarkStart w:id="0" w:name="_Toc159956803"/>
      <w:r w:rsidRPr="008D5892">
        <w:rPr>
          <w:rFonts w:ascii="Times New Roman" w:hAnsi="Times New Roman" w:cs="Times New Roman"/>
          <w:b/>
          <w:sz w:val="22"/>
          <w:szCs w:val="22"/>
        </w:rPr>
        <w:t>Supplementary Table 2</w:t>
      </w:r>
      <w:r w:rsidRPr="008D5892">
        <w:rPr>
          <w:rFonts w:ascii="Times New Roman" w:eastAsia="DengXian" w:hAnsi="Times New Roman" w:cs="Times New Roman"/>
          <w:b/>
          <w:kern w:val="32"/>
          <w:sz w:val="22"/>
          <w:szCs w:val="22"/>
        </w:rPr>
        <w:t>.</w:t>
      </w:r>
      <w:r w:rsidRPr="008D5892">
        <w:rPr>
          <w:rFonts w:ascii="Times New Roman" w:eastAsia="DengXian" w:hAnsi="Times New Roman" w:cs="Times New Roman"/>
          <w:bCs/>
          <w:kern w:val="32"/>
          <w:sz w:val="22"/>
          <w:szCs w:val="22"/>
          <w:lang w:val="pt-BR"/>
        </w:rPr>
        <w:t xml:space="preserve"> Adjuvant therapies in this study and their molecular targets. </w:t>
      </w:r>
      <w:bookmarkEnd w:id="0"/>
    </w:p>
    <w:tbl>
      <w:tblPr>
        <w:tblStyle w:val="TableGrid"/>
        <w:tblW w:w="0" w:type="auto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846"/>
        <w:gridCol w:w="2582"/>
        <w:gridCol w:w="2922"/>
      </w:tblGrid>
      <w:tr w:rsidR="005711BE" w:rsidRPr="001B3957" w14:paraId="2A7D6807" w14:textId="77777777" w:rsidTr="00306465">
        <w:trPr>
          <w:trHeight w:val="373"/>
        </w:trPr>
        <w:tc>
          <w:tcPr>
            <w:tcW w:w="0" w:type="auto"/>
            <w:vAlign w:val="center"/>
          </w:tcPr>
          <w:p w14:paraId="0F60A720" w14:textId="77777777" w:rsidR="005711BE" w:rsidRPr="008D5892" w:rsidRDefault="005711BE" w:rsidP="00306465">
            <w:pPr>
              <w:jc w:val="center"/>
              <w:rPr>
                <w:rFonts w:eastAsia="FangSong"/>
                <w:b/>
                <w:bCs/>
                <w:sz w:val="22"/>
                <w:szCs w:val="22"/>
              </w:rPr>
            </w:pPr>
            <w:r w:rsidRPr="008D5892">
              <w:rPr>
                <w:rFonts w:eastAsia="FangSong"/>
                <w:b/>
                <w:bCs/>
                <w:sz w:val="22"/>
                <w:szCs w:val="22"/>
              </w:rPr>
              <w:t>Drug</w:t>
            </w:r>
          </w:p>
        </w:tc>
        <w:tc>
          <w:tcPr>
            <w:tcW w:w="0" w:type="auto"/>
            <w:vAlign w:val="center"/>
          </w:tcPr>
          <w:p w14:paraId="09F831D2" w14:textId="77777777" w:rsidR="005711BE" w:rsidRPr="008D5892" w:rsidRDefault="005711BE" w:rsidP="00306465">
            <w:pPr>
              <w:jc w:val="center"/>
              <w:rPr>
                <w:rFonts w:eastAsia="FangSong"/>
                <w:b/>
                <w:bCs/>
                <w:sz w:val="22"/>
                <w:szCs w:val="22"/>
              </w:rPr>
            </w:pPr>
            <w:r w:rsidRPr="008D5892">
              <w:rPr>
                <w:rFonts w:eastAsia="FangSong"/>
                <w:b/>
                <w:bCs/>
                <w:sz w:val="22"/>
                <w:szCs w:val="22"/>
              </w:rPr>
              <w:t>Target(s)</w:t>
            </w:r>
          </w:p>
        </w:tc>
        <w:tc>
          <w:tcPr>
            <w:tcW w:w="0" w:type="auto"/>
            <w:vAlign w:val="center"/>
          </w:tcPr>
          <w:p w14:paraId="119C0BCD" w14:textId="77777777" w:rsidR="005711BE" w:rsidRPr="008D5892" w:rsidRDefault="005711BE" w:rsidP="00306465">
            <w:pPr>
              <w:jc w:val="center"/>
              <w:rPr>
                <w:rFonts w:eastAsia="FangSong"/>
                <w:b/>
                <w:bCs/>
                <w:sz w:val="22"/>
                <w:szCs w:val="22"/>
              </w:rPr>
            </w:pPr>
            <w:r w:rsidRPr="008D5892">
              <w:rPr>
                <w:rFonts w:eastAsia="FangSong"/>
                <w:b/>
                <w:bCs/>
                <w:sz w:val="22"/>
                <w:szCs w:val="22"/>
              </w:rPr>
              <w:t>Regime</w:t>
            </w:r>
          </w:p>
        </w:tc>
      </w:tr>
      <w:tr w:rsidR="005711BE" w:rsidRPr="001B3957" w14:paraId="07D5CAEF" w14:textId="77777777" w:rsidTr="00306465">
        <w:trPr>
          <w:trHeight w:val="152"/>
        </w:trPr>
        <w:tc>
          <w:tcPr>
            <w:tcW w:w="0" w:type="auto"/>
            <w:gridSpan w:val="3"/>
            <w:vAlign w:val="center"/>
          </w:tcPr>
          <w:p w14:paraId="280CA2FF" w14:textId="77777777" w:rsidR="005711BE" w:rsidRPr="008D5892" w:rsidRDefault="005711BE" w:rsidP="00306465">
            <w:pPr>
              <w:spacing w:line="276" w:lineRule="auto"/>
              <w:rPr>
                <w:rFonts w:eastAsia="FangSong"/>
                <w:i/>
                <w:iCs/>
                <w:sz w:val="22"/>
                <w:szCs w:val="22"/>
              </w:rPr>
            </w:pPr>
            <w:r w:rsidRPr="008D5892">
              <w:rPr>
                <w:rFonts w:eastAsia="FangSong"/>
                <w:i/>
                <w:iCs/>
                <w:sz w:val="22"/>
                <w:szCs w:val="22"/>
              </w:rPr>
              <w:t>Immune checkpoint inhibitors</w:t>
            </w:r>
          </w:p>
        </w:tc>
      </w:tr>
      <w:tr w:rsidR="005711BE" w:rsidRPr="001B3957" w14:paraId="2D0DA3F4" w14:textId="77777777" w:rsidTr="00306465">
        <w:trPr>
          <w:trHeight w:val="356"/>
        </w:trPr>
        <w:tc>
          <w:tcPr>
            <w:tcW w:w="0" w:type="auto"/>
            <w:vAlign w:val="center"/>
          </w:tcPr>
          <w:p w14:paraId="2FD6F271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Tislelizumab (Baize’an®, Be</w:t>
            </w:r>
            <w:r w:rsidRPr="001B3957">
              <w:rPr>
                <w:rFonts w:eastAsia="FangSong"/>
                <w:sz w:val="22"/>
                <w:szCs w:val="22"/>
              </w:rPr>
              <w:t>O</w:t>
            </w:r>
            <w:r w:rsidRPr="008D5892">
              <w:rPr>
                <w:rFonts w:eastAsia="FangSong"/>
                <w:sz w:val="22"/>
                <w:szCs w:val="22"/>
              </w:rPr>
              <w:t>ne, Beijing, China)</w:t>
            </w:r>
          </w:p>
        </w:tc>
        <w:tc>
          <w:tcPr>
            <w:tcW w:w="0" w:type="auto"/>
            <w:vMerge w:val="restart"/>
            <w:vAlign w:val="center"/>
          </w:tcPr>
          <w:p w14:paraId="641F94B1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PD-1</w:t>
            </w:r>
          </w:p>
        </w:tc>
        <w:tc>
          <w:tcPr>
            <w:tcW w:w="0" w:type="auto"/>
            <w:vAlign w:val="center"/>
          </w:tcPr>
          <w:p w14:paraId="2A983A9F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200 mg once every 3 weeks, intravenous infusion</w:t>
            </w:r>
          </w:p>
        </w:tc>
      </w:tr>
      <w:tr w:rsidR="005711BE" w:rsidRPr="001B3957" w14:paraId="130E4245" w14:textId="77777777" w:rsidTr="00306465">
        <w:trPr>
          <w:trHeight w:val="653"/>
        </w:trPr>
        <w:tc>
          <w:tcPr>
            <w:tcW w:w="0" w:type="auto"/>
            <w:vAlign w:val="center"/>
          </w:tcPr>
          <w:p w14:paraId="7F579856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Camrelizumab (AiRuiKa®, Jiangsu Hengrui Medicine, Suzhou, China)</w:t>
            </w:r>
          </w:p>
        </w:tc>
        <w:tc>
          <w:tcPr>
            <w:tcW w:w="0" w:type="auto"/>
            <w:vMerge/>
            <w:vAlign w:val="center"/>
          </w:tcPr>
          <w:p w14:paraId="5E7C0D22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810AEC9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200 mg once or 3 mg/kg once every 3 weeks, intravenous infusion</w:t>
            </w:r>
          </w:p>
        </w:tc>
      </w:tr>
      <w:tr w:rsidR="005711BE" w:rsidRPr="001B3957" w14:paraId="01FCF8E2" w14:textId="77777777" w:rsidTr="00306465">
        <w:trPr>
          <w:trHeight w:val="380"/>
        </w:trPr>
        <w:tc>
          <w:tcPr>
            <w:tcW w:w="0" w:type="auto"/>
            <w:vAlign w:val="center"/>
          </w:tcPr>
          <w:p w14:paraId="2510FE1A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Sintilimab (Tyvyt®, Innovent Biologics, Suzhou, China)</w:t>
            </w:r>
          </w:p>
        </w:tc>
        <w:tc>
          <w:tcPr>
            <w:tcW w:w="0" w:type="auto"/>
            <w:vMerge/>
            <w:vAlign w:val="center"/>
          </w:tcPr>
          <w:p w14:paraId="17F0E54B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F992A6B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200 mg once every 3 weeks, intravenous infusion</w:t>
            </w:r>
          </w:p>
        </w:tc>
      </w:tr>
      <w:tr w:rsidR="005711BE" w:rsidRPr="001B3957" w14:paraId="796AD2B7" w14:textId="77777777" w:rsidTr="00306465">
        <w:trPr>
          <w:trHeight w:val="723"/>
        </w:trPr>
        <w:tc>
          <w:tcPr>
            <w:tcW w:w="0" w:type="auto"/>
            <w:vAlign w:val="center"/>
          </w:tcPr>
          <w:p w14:paraId="60E49771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  <w:lang w:val="fr-FR"/>
              </w:rPr>
            </w:pPr>
            <w:r w:rsidRPr="008D5892">
              <w:rPr>
                <w:rFonts w:eastAsia="FangSong"/>
                <w:sz w:val="22"/>
                <w:szCs w:val="22"/>
                <w:lang w:val="fr-FR"/>
              </w:rPr>
              <w:t>Toripalimab (Tuoyi®, Suzhou Junshi Biosciences, Suzhou, China)</w:t>
            </w:r>
          </w:p>
        </w:tc>
        <w:tc>
          <w:tcPr>
            <w:tcW w:w="0" w:type="auto"/>
            <w:vMerge/>
            <w:vAlign w:val="center"/>
          </w:tcPr>
          <w:p w14:paraId="3C92C3BD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656BF38A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200 mg once every 3 weeks, intravenous infusion</w:t>
            </w:r>
          </w:p>
        </w:tc>
      </w:tr>
      <w:tr w:rsidR="005711BE" w:rsidRPr="001B3957" w14:paraId="38D7876F" w14:textId="77777777" w:rsidTr="00306465">
        <w:trPr>
          <w:trHeight w:val="1128"/>
        </w:trPr>
        <w:tc>
          <w:tcPr>
            <w:tcW w:w="0" w:type="auto"/>
            <w:vAlign w:val="center"/>
          </w:tcPr>
          <w:p w14:paraId="1222B1AA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Penpulimab (Anniko®, Chia Tai Tianqing Kangfang Biopharmaceutical, Nanjing, China)</w:t>
            </w:r>
          </w:p>
        </w:tc>
        <w:tc>
          <w:tcPr>
            <w:tcW w:w="0" w:type="auto"/>
            <w:vMerge/>
            <w:vAlign w:val="center"/>
          </w:tcPr>
          <w:p w14:paraId="580691E9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F18789B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200 mg once every 3 weeks, intravenous infusion</w:t>
            </w:r>
          </w:p>
        </w:tc>
      </w:tr>
      <w:tr w:rsidR="005711BE" w:rsidRPr="001B3957" w14:paraId="468EE8EA" w14:textId="77777777" w:rsidTr="00306465">
        <w:trPr>
          <w:trHeight w:val="575"/>
        </w:trPr>
        <w:tc>
          <w:tcPr>
            <w:tcW w:w="0" w:type="auto"/>
            <w:vAlign w:val="center"/>
          </w:tcPr>
          <w:p w14:paraId="3F737ED9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Pembrolizumab (Keytruda®, Merck Sharp &amp; Dohme, Kenilworth, NJ, USA)</w:t>
            </w:r>
          </w:p>
        </w:tc>
        <w:tc>
          <w:tcPr>
            <w:tcW w:w="0" w:type="auto"/>
            <w:vMerge/>
            <w:vAlign w:val="center"/>
          </w:tcPr>
          <w:p w14:paraId="4CD61649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C21C4FD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200 mg once every 3 weeks, intravenous infusion</w:t>
            </w:r>
          </w:p>
        </w:tc>
      </w:tr>
      <w:tr w:rsidR="005711BE" w:rsidRPr="001B3957" w14:paraId="16C7EC46" w14:textId="77777777" w:rsidTr="00306465">
        <w:trPr>
          <w:trHeight w:val="90"/>
        </w:trPr>
        <w:tc>
          <w:tcPr>
            <w:tcW w:w="0" w:type="auto"/>
            <w:gridSpan w:val="3"/>
            <w:vAlign w:val="center"/>
          </w:tcPr>
          <w:p w14:paraId="738A2C07" w14:textId="77777777" w:rsidR="005711BE" w:rsidRPr="008D5892" w:rsidRDefault="005711BE" w:rsidP="00306465">
            <w:pPr>
              <w:spacing w:line="276" w:lineRule="auto"/>
              <w:rPr>
                <w:rFonts w:eastAsia="FangSong"/>
                <w:i/>
                <w:iCs/>
                <w:sz w:val="22"/>
                <w:szCs w:val="22"/>
              </w:rPr>
            </w:pPr>
            <w:r w:rsidRPr="008D5892">
              <w:rPr>
                <w:rFonts w:eastAsia="FangSong"/>
                <w:i/>
                <w:iCs/>
                <w:sz w:val="22"/>
                <w:szCs w:val="22"/>
              </w:rPr>
              <w:t xml:space="preserve">Antibody against vascular endothelial growth factor or inhibitors of tyrosine kinases </w:t>
            </w:r>
          </w:p>
        </w:tc>
      </w:tr>
      <w:tr w:rsidR="005711BE" w:rsidRPr="001B3957" w14:paraId="4114EBB1" w14:textId="77777777" w:rsidTr="00306465">
        <w:trPr>
          <w:trHeight w:val="256"/>
        </w:trPr>
        <w:tc>
          <w:tcPr>
            <w:tcW w:w="0" w:type="auto"/>
            <w:vAlign w:val="center"/>
          </w:tcPr>
          <w:p w14:paraId="0EC00A48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  <w:lang w:val="fr-FR"/>
              </w:rPr>
            </w:pPr>
            <w:r w:rsidRPr="008D5892">
              <w:rPr>
                <w:rFonts w:eastAsia="FangSong"/>
                <w:sz w:val="22"/>
                <w:szCs w:val="22"/>
                <w:lang w:val="fr-FR"/>
              </w:rPr>
              <w:t>Lenvatinib (Lenvanix®, Eisai, Japan)</w:t>
            </w:r>
          </w:p>
        </w:tc>
        <w:tc>
          <w:tcPr>
            <w:tcW w:w="0" w:type="auto"/>
            <w:vAlign w:val="center"/>
          </w:tcPr>
          <w:p w14:paraId="78571F41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VEGFR1–VEGFR3, PDGFR, FGFR1–FGFR4, RET</w:t>
            </w:r>
          </w:p>
        </w:tc>
        <w:tc>
          <w:tcPr>
            <w:tcW w:w="0" w:type="auto"/>
            <w:vAlign w:val="center"/>
          </w:tcPr>
          <w:p w14:paraId="4156FC2C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8 mg QD (for bodyweight &lt; 60 kg) or 12 mg QD (for bodyweight ≥ 60 kg)</w:t>
            </w:r>
          </w:p>
        </w:tc>
      </w:tr>
      <w:tr w:rsidR="005711BE" w:rsidRPr="001B3957" w14:paraId="5C6BD5A9" w14:textId="77777777" w:rsidTr="00306465">
        <w:trPr>
          <w:trHeight w:val="459"/>
        </w:trPr>
        <w:tc>
          <w:tcPr>
            <w:tcW w:w="0" w:type="auto"/>
            <w:vAlign w:val="center"/>
          </w:tcPr>
          <w:p w14:paraId="5AA2B89F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  <w:lang w:val="de-DE"/>
              </w:rPr>
            </w:pPr>
            <w:r w:rsidRPr="008D5892">
              <w:rPr>
                <w:rFonts w:eastAsia="FangSong"/>
                <w:sz w:val="22"/>
                <w:szCs w:val="22"/>
                <w:lang w:val="de-DE"/>
              </w:rPr>
              <w:t>Bevacizumab (Avastin®, F. Hoffmann-La Roche, Basel, Switzerland)</w:t>
            </w:r>
          </w:p>
        </w:tc>
        <w:tc>
          <w:tcPr>
            <w:tcW w:w="0" w:type="auto"/>
            <w:vAlign w:val="center"/>
          </w:tcPr>
          <w:p w14:paraId="2F918501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VEGFA</w:t>
            </w:r>
          </w:p>
        </w:tc>
        <w:tc>
          <w:tcPr>
            <w:tcW w:w="0" w:type="auto"/>
            <w:vAlign w:val="center"/>
          </w:tcPr>
          <w:p w14:paraId="7CA837A6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15 mg/kg once every 3 weeks, intravenous infusion</w:t>
            </w:r>
          </w:p>
        </w:tc>
      </w:tr>
      <w:tr w:rsidR="005711BE" w:rsidRPr="001B3957" w14:paraId="593E8340" w14:textId="77777777" w:rsidTr="00306465">
        <w:trPr>
          <w:trHeight w:val="727"/>
        </w:trPr>
        <w:tc>
          <w:tcPr>
            <w:tcW w:w="0" w:type="auto"/>
            <w:vAlign w:val="center"/>
          </w:tcPr>
          <w:p w14:paraId="2FF0A610" w14:textId="77777777" w:rsidR="005711BE" w:rsidRPr="008D5892" w:rsidRDefault="005711BE" w:rsidP="00306465">
            <w:pPr>
              <w:autoSpaceDE w:val="0"/>
              <w:autoSpaceDN w:val="0"/>
              <w:adjustRightInd w:val="0"/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Donafenib (Zepsun®, Suzhou Zelgen Biopharmaceuticals, Suzhou, China)</w:t>
            </w:r>
          </w:p>
        </w:tc>
        <w:tc>
          <w:tcPr>
            <w:tcW w:w="0" w:type="auto"/>
            <w:vAlign w:val="center"/>
          </w:tcPr>
          <w:p w14:paraId="3E1F7C58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  <w:lang w:val="de-DE"/>
              </w:rPr>
            </w:pPr>
            <w:r w:rsidRPr="008D5892">
              <w:rPr>
                <w:rFonts w:eastAsia="FangSong"/>
                <w:sz w:val="22"/>
                <w:szCs w:val="22"/>
                <w:lang w:val="de-DE"/>
              </w:rPr>
              <w:t>VEGFR, PDGFR, Raf/MEK/ERK kinase</w:t>
            </w:r>
          </w:p>
        </w:tc>
        <w:tc>
          <w:tcPr>
            <w:tcW w:w="0" w:type="auto"/>
            <w:vAlign w:val="center"/>
          </w:tcPr>
          <w:p w14:paraId="58F20F36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200 mg BID</w:t>
            </w:r>
          </w:p>
        </w:tc>
      </w:tr>
      <w:tr w:rsidR="005711BE" w:rsidRPr="001B3957" w14:paraId="7C0929DF" w14:textId="77777777" w:rsidTr="00306465">
        <w:trPr>
          <w:trHeight w:val="949"/>
        </w:trPr>
        <w:tc>
          <w:tcPr>
            <w:tcW w:w="0" w:type="auto"/>
            <w:vAlign w:val="center"/>
          </w:tcPr>
          <w:p w14:paraId="4E3E1906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Apatinib (Aitan®, Jiangsu Hengrui Medicine, Lianyungang, China)</w:t>
            </w:r>
          </w:p>
        </w:tc>
        <w:tc>
          <w:tcPr>
            <w:tcW w:w="0" w:type="auto"/>
            <w:vAlign w:val="center"/>
          </w:tcPr>
          <w:p w14:paraId="3F52CECD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  <w:lang w:val="de-DE"/>
              </w:rPr>
            </w:pPr>
            <w:r w:rsidRPr="008D5892">
              <w:rPr>
                <w:rFonts w:eastAsia="FangSong"/>
                <w:sz w:val="22"/>
                <w:szCs w:val="22"/>
                <w:lang w:val="de-DE"/>
              </w:rPr>
              <w:t>VEGFR2, c-Kit, c-SRC </w:t>
            </w:r>
          </w:p>
        </w:tc>
        <w:tc>
          <w:tcPr>
            <w:tcW w:w="0" w:type="auto"/>
            <w:vAlign w:val="center"/>
          </w:tcPr>
          <w:p w14:paraId="66D45D38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 xml:space="preserve">250 mg QD </w:t>
            </w:r>
          </w:p>
        </w:tc>
      </w:tr>
      <w:tr w:rsidR="005711BE" w:rsidRPr="001B3957" w14:paraId="562302CE" w14:textId="77777777" w:rsidTr="00306465">
        <w:trPr>
          <w:trHeight w:val="1116"/>
        </w:trPr>
        <w:tc>
          <w:tcPr>
            <w:tcW w:w="0" w:type="auto"/>
            <w:vAlign w:val="center"/>
          </w:tcPr>
          <w:p w14:paraId="06984BDF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Anlotinib (Fuvicol® , Jiangsu Hansoh Pharmaceutical Group, Lianyungang, China)</w:t>
            </w:r>
          </w:p>
        </w:tc>
        <w:tc>
          <w:tcPr>
            <w:tcW w:w="0" w:type="auto"/>
            <w:vAlign w:val="center"/>
          </w:tcPr>
          <w:p w14:paraId="1BA3673B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VEGFR1–VEGFR3, PDGFR, FGFR1–FGFR4, c-Kit</w:t>
            </w:r>
          </w:p>
        </w:tc>
        <w:tc>
          <w:tcPr>
            <w:tcW w:w="0" w:type="auto"/>
            <w:vAlign w:val="center"/>
          </w:tcPr>
          <w:p w14:paraId="66BC0545" w14:textId="77777777" w:rsidR="005711BE" w:rsidRPr="008D5892" w:rsidRDefault="005711BE" w:rsidP="00306465">
            <w:pPr>
              <w:spacing w:line="276" w:lineRule="auto"/>
              <w:rPr>
                <w:rFonts w:eastAsia="FangSong"/>
                <w:sz w:val="22"/>
                <w:szCs w:val="22"/>
              </w:rPr>
            </w:pPr>
            <w:r w:rsidRPr="008D5892">
              <w:rPr>
                <w:rFonts w:eastAsia="FangSong"/>
                <w:sz w:val="22"/>
                <w:szCs w:val="22"/>
              </w:rPr>
              <w:t>12 mg QD</w:t>
            </w:r>
          </w:p>
        </w:tc>
      </w:tr>
    </w:tbl>
    <w:p w14:paraId="182F7167" w14:textId="77777777" w:rsidR="005711BE" w:rsidRPr="008D5892" w:rsidRDefault="005711BE" w:rsidP="005711BE">
      <w:pPr>
        <w:rPr>
          <w:rFonts w:ascii="Times New Roman" w:hAnsi="Times New Roman" w:cs="Times New Roman"/>
          <w:b/>
          <w:sz w:val="22"/>
          <w:szCs w:val="22"/>
        </w:rPr>
      </w:pPr>
      <w:r w:rsidRPr="008D5892">
        <w:rPr>
          <w:rFonts w:ascii="Times New Roman" w:hAnsi="Times New Roman" w:cs="Times New Roman"/>
          <w:b/>
          <w:sz w:val="22"/>
          <w:szCs w:val="22"/>
        </w:rPr>
        <w:br w:type="page"/>
      </w:r>
    </w:p>
    <w:p w14:paraId="2B83EE20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µÈÏß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angSong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268"/>
    <w:rsid w:val="0003063C"/>
    <w:rsid w:val="004244E6"/>
    <w:rsid w:val="00523268"/>
    <w:rsid w:val="005711BE"/>
    <w:rsid w:val="0067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988BB2-F920-4D03-A2A8-7CB8B7E12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3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3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32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3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32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32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32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32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32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32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32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32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32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32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32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32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32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32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32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3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32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32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2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32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32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32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2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2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326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uiPriority w:val="59"/>
    <w:qFormat/>
    <w:rsid w:val="005711BE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2026-08-26T23:44:00Z</dcterms:created>
  <dcterms:modified xsi:type="dcterms:W3CDTF">2026-08-26T23:44:00Z</dcterms:modified>
</cp:coreProperties>
</file>