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C7" w:rsidRPr="005B1CF5" w:rsidRDefault="00041BC7" w:rsidP="00041BC7">
      <w:pPr>
        <w:tabs>
          <w:tab w:val="left" w:pos="720"/>
        </w:tabs>
        <w:rPr>
          <w:rFonts w:ascii="Times New Roman" w:hAnsi="Times New Roman" w:cs="Times New Roman"/>
        </w:rPr>
      </w:pPr>
    </w:p>
    <w:tbl>
      <w:tblPr>
        <w:tblW w:w="14690" w:type="dxa"/>
        <w:tblInd w:w="108" w:type="dxa"/>
        <w:tblLook w:val="04A0"/>
      </w:tblPr>
      <w:tblGrid>
        <w:gridCol w:w="3374"/>
        <w:gridCol w:w="1919"/>
        <w:gridCol w:w="1637"/>
        <w:gridCol w:w="1939"/>
        <w:gridCol w:w="1940"/>
        <w:gridCol w:w="1939"/>
        <w:gridCol w:w="1942"/>
      </w:tblGrid>
      <w:tr w:rsidR="00041BC7" w:rsidRPr="005B1CF5" w:rsidTr="00E25495">
        <w:trPr>
          <w:trHeight w:val="412"/>
        </w:trPr>
        <w:tc>
          <w:tcPr>
            <w:tcW w:w="146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Supplementary Table 11. Interactions between polygenic risk score (PRS) and autosomal mosaic abnormalities on the risk of compensated cirrhosis</w:t>
            </w:r>
            <w:r w:rsidRPr="005B1CF5">
              <w:rPr>
                <w:rFonts w:ascii="Times New Roman" w:eastAsia="等线" w:hAnsi="Times New Roman" w:cs="Times New Roman"/>
                <w:b/>
                <w:bCs/>
                <w:vertAlign w:val="superscript"/>
              </w:rPr>
              <w:t>a,b,c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Autosomal mosaic abnormalities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Multiplicative interaction</w:t>
            </w:r>
          </w:p>
        </w:tc>
        <w:tc>
          <w:tcPr>
            <w:tcW w:w="7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Additive interaction 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HR (95% CI)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455C4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Intermediate genetic risk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High genetic risk</w:t>
            </w:r>
          </w:p>
        </w:tc>
      </w:tr>
      <w:tr w:rsidR="00041BC7" w:rsidRPr="005B1CF5" w:rsidTr="00E25495">
        <w:trPr>
          <w:trHeight w:val="691"/>
        </w:trPr>
        <w:tc>
          <w:tcPr>
            <w:tcW w:w="33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RERI (95%CI)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AP (95%CI)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RERI (95%CI)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AP (95%CI)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All detectable mCAs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1.04 (0.74,1.46)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0.813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0.24 (-0.65,1.13)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0.13 (-0.34,0.61)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0.61 (-0.77,1.98)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0.19 (-0.19,0.56)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0.91 (0.58,1.42)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0.678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0.16 (-1.11,1.43)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0.08 (-0.56,0.73)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0.13 (-1.70,1.96)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0.04 (-0.57,0.65)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1.26 (0.60-2.64)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0.548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0.31 (-1.64,2.26)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0.17 (-0.86,1.20)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1.52 (-1.88,4.92)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0.38 (-0.24,0.99)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Mosaic copy gain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1.03 (0.39-2.74)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0.68 (-1.28,2.64)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0.42 (-0.62,1.45)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0.52 (-2.58,3.63)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0.22 (-0.88,1.32)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Cell fraction&lt;10%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1.08 (0.25-4.62)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-0.69 (-3.18,1.79)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-1.00 (-5.31,3.31)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0.03 (-3.96,4.02)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0.01 (-1.67,1.69)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Cell fraction≥10%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0.99 (0.26-3.69)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4.12 (0.21, -8.04)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0.93 (0.86,1.00)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1.67 (-4.20,7.54)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0.56 (-0.31,1.43)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Mosaic copy loss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1.14 (0.51-2.54)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0.741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1.94 (0.73,3.15)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0.92 (0.84,1.00)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1.00 (-1.05,3.04)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0.48 (-0.04,1.00)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Cell fraction&lt;10%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0.59 (0.18-1.92)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2.88 (0.56,5.20)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0.92 (0.85,1.00)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NA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Cell fraction≥10%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1.99 (0.65-6.15)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1.36 (-0.11,2.84)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0.81 (0.63,1.00)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2.72 (-1.25,6.70)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hAnsi="Times New Roman" w:cs="Times New Roman"/>
              </w:rPr>
              <w:t>0.67 (0.35,1.00)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Copy-neutral loss of heterozygosity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0.94 (0.59,1.49)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0.791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-0.28 (-1.68,1.13)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-0.16 (-1.01,0.69)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0.44 (-1.63,2.51)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0.13 (-0.43,0.69)</w:t>
            </w:r>
          </w:p>
        </w:tc>
      </w:tr>
      <w:tr w:rsidR="00041BC7" w:rsidRPr="005B1CF5" w:rsidTr="00E25495">
        <w:trPr>
          <w:trHeight w:val="33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0.94 (0.58,1.54)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0.818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0.04 (-1.52,1.60)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0.02 (-0.75,0.79)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0.45 (-1.83,2.74)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0.13 (-0.48,0.74)</w:t>
            </w:r>
          </w:p>
        </w:tc>
      </w:tr>
      <w:tr w:rsidR="00041BC7" w:rsidRPr="005B1CF5" w:rsidTr="00E25495">
        <w:trPr>
          <w:trHeight w:val="351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lastRenderedPageBreak/>
              <w:t>Cell fraction≥10%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0.91 (0.27,3.09)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-2.49 (-6.99,2.01)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-2.72 (-9.68,4.25)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0.17 (-6.56,6.91)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0.04 (-1.40,1.47)</w:t>
            </w:r>
          </w:p>
        </w:tc>
      </w:tr>
      <w:tr w:rsidR="00041BC7" w:rsidRPr="005B1CF5" w:rsidTr="00E25495">
        <w:trPr>
          <w:trHeight w:val="339"/>
        </w:trPr>
        <w:tc>
          <w:tcPr>
            <w:tcW w:w="1469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Definition of abbreviations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: AP, attributable proportion; RERI, relative excess risk due to interaction; HR, hazard ratio; 95% CI, 95% confidence interval. </w:t>
            </w:r>
          </w:p>
        </w:tc>
      </w:tr>
      <w:tr w:rsidR="00041BC7" w:rsidRPr="005B1CF5" w:rsidTr="00E25495">
        <w:trPr>
          <w:trHeight w:val="239"/>
        </w:trPr>
        <w:tc>
          <w:tcPr>
            <w:tcW w:w="14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Estimates were adjusted for age, age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2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, sex, smoking status, drinking status, the top 10 principal components of ancestry and genotyping batch.</w:t>
            </w:r>
          </w:p>
        </w:tc>
      </w:tr>
      <w:tr w:rsidR="00041BC7" w:rsidRPr="005B1CF5" w:rsidTr="00E25495">
        <w:trPr>
          <w:trHeight w:val="339"/>
        </w:trPr>
        <w:tc>
          <w:tcPr>
            <w:tcW w:w="14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Genetic risk was categorized into low (bottom quintile), intermediate (quintiles 2-4), and high (top quintile) according to distributions of PRS among individuals without cirrhosis.</w:t>
            </w:r>
          </w:p>
        </w:tc>
      </w:tr>
      <w:tr w:rsidR="00041BC7" w:rsidRPr="005B1CF5" w:rsidTr="00E25495">
        <w:trPr>
          <w:trHeight w:val="481"/>
        </w:trPr>
        <w:tc>
          <w:tcPr>
            <w:tcW w:w="14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BC7" w:rsidRPr="005B1CF5" w:rsidRDefault="00041BC7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When evaluating the interaction effects, 1934 mosaic copy gain carriers, 2781 mosaic copy loss carriers, 7514 mosaic copy-neutral loss of heterozygosity carriers, and 432,675 non-carriers of any mCA types were included, where non-carriers of any mCA types were set as the reference group. </w:t>
            </w:r>
          </w:p>
        </w:tc>
      </w:tr>
    </w:tbl>
    <w:p w:rsidR="00041BC7" w:rsidRPr="005B1CF5" w:rsidRDefault="00041BC7" w:rsidP="00041BC7">
      <w:pPr>
        <w:tabs>
          <w:tab w:val="left" w:pos="720"/>
        </w:tabs>
        <w:rPr>
          <w:rFonts w:ascii="Times New Roman" w:hAnsi="Times New Roman" w:cs="Times New Roman"/>
        </w:rPr>
      </w:pPr>
    </w:p>
    <w:p w:rsidR="00041BC7" w:rsidRPr="005B1CF5" w:rsidRDefault="00041BC7" w:rsidP="00041BC7">
      <w:pPr>
        <w:rPr>
          <w:rFonts w:ascii="Times New Roman" w:hAnsi="Times New Roman" w:cs="Times New Roman"/>
        </w:rPr>
      </w:pPr>
    </w:p>
    <w:p w:rsidR="00AB7CA3" w:rsidRDefault="00AB7CA3"/>
    <w:sectPr w:rsidR="00AB7CA3" w:rsidSect="00A57A6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041BC7"/>
    <w:rsid w:val="00041BC7"/>
    <w:rsid w:val="00AB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2024-05-20T22:28:00Z</dcterms:created>
  <dcterms:modified xsi:type="dcterms:W3CDTF">2024-05-20T22:28:00Z</dcterms:modified>
</cp:coreProperties>
</file>