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84" w:rsidRPr="005B1CF5" w:rsidRDefault="007F4884" w:rsidP="007F4884">
      <w:pPr>
        <w:tabs>
          <w:tab w:val="left" w:pos="720"/>
        </w:tabs>
        <w:rPr>
          <w:rFonts w:ascii="Times New Roman" w:hAnsi="Times New Roman" w:cs="Times New Roman"/>
        </w:rPr>
        <w:sectPr w:rsidR="007F4884" w:rsidRPr="005B1CF5" w:rsidSect="00A57A64">
          <w:pgSz w:w="16838" w:h="11906" w:orient="landscape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14740" w:type="dxa"/>
        <w:tblInd w:w="108" w:type="dxa"/>
        <w:tblLook w:val="04A0"/>
      </w:tblPr>
      <w:tblGrid>
        <w:gridCol w:w="3385"/>
        <w:gridCol w:w="1926"/>
        <w:gridCol w:w="1642"/>
        <w:gridCol w:w="1946"/>
        <w:gridCol w:w="1946"/>
        <w:gridCol w:w="1946"/>
        <w:gridCol w:w="1949"/>
      </w:tblGrid>
      <w:tr w:rsidR="007F4884" w:rsidRPr="005B1CF5" w:rsidTr="00E25495">
        <w:trPr>
          <w:trHeight w:val="376"/>
        </w:trPr>
        <w:tc>
          <w:tcPr>
            <w:tcW w:w="147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lastRenderedPageBreak/>
              <w:t xml:space="preserve">Supplementary Table 10. </w:t>
            </w:r>
            <w:bookmarkStart w:id="0" w:name="_Hlk141448062"/>
            <w:r w:rsidRPr="005B1CF5">
              <w:rPr>
                <w:rFonts w:ascii="Times New Roman" w:eastAsia="等线" w:hAnsi="Times New Roman" w:cs="Times New Roman"/>
                <w:b/>
                <w:bCs/>
              </w:rPr>
              <w:t>Interactions between polygenic risk score (PRS) and autosomal mosaic abnormalities on the risk of cirrhosis</w:t>
            </w:r>
            <w:bookmarkEnd w:id="0"/>
            <w:r w:rsidRPr="005B1CF5">
              <w:rPr>
                <w:rFonts w:ascii="Times New Roman" w:eastAsia="等线" w:hAnsi="Times New Roman" w:cs="Times New Roman"/>
                <w:b/>
                <w:bCs/>
                <w:vertAlign w:val="superscript"/>
              </w:rPr>
              <w:t>a,b,c</w:t>
            </w:r>
          </w:p>
        </w:tc>
      </w:tr>
      <w:tr w:rsidR="007F4884" w:rsidRPr="005B1CF5" w:rsidTr="00E25495">
        <w:trPr>
          <w:trHeight w:val="310"/>
        </w:trPr>
        <w:tc>
          <w:tcPr>
            <w:tcW w:w="33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Autosomal mosaic abnormalities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Multiplicative interaction</w:t>
            </w:r>
          </w:p>
        </w:tc>
        <w:tc>
          <w:tcPr>
            <w:tcW w:w="77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Additive interaction </w:t>
            </w:r>
          </w:p>
        </w:tc>
      </w:tr>
      <w:tr w:rsidR="007F4884" w:rsidRPr="005B1CF5" w:rsidTr="00E25495">
        <w:trPr>
          <w:trHeight w:val="310"/>
        </w:trPr>
        <w:tc>
          <w:tcPr>
            <w:tcW w:w="338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HR (95% CI)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455C4">
              <w:rPr>
                <w:rFonts w:ascii="Times New Roman" w:eastAsia="等线" w:hAnsi="Times New Roman" w:cs="Times New Roman"/>
                <w:b/>
                <w:bCs/>
                <w:i/>
                <w:iCs/>
              </w:rPr>
              <w:t>p</w:t>
            </w: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 value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Intermediate genetic risk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High genetic risk</w:t>
            </w:r>
          </w:p>
        </w:tc>
      </w:tr>
      <w:tr w:rsidR="007F4884" w:rsidRPr="005B1CF5" w:rsidTr="00E25495">
        <w:trPr>
          <w:trHeight w:val="631"/>
        </w:trPr>
        <w:tc>
          <w:tcPr>
            <w:tcW w:w="33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RERI (95%CI)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AP (95%CI)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RERI (95%CI)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AP (95%CI)</w:t>
            </w:r>
          </w:p>
        </w:tc>
      </w:tr>
      <w:tr w:rsidR="007F4884" w:rsidRPr="005B1CF5" w:rsidTr="00E25495">
        <w:trPr>
          <w:trHeight w:val="3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All detectable mCAs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0.95 (0.72-1.26)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0.731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-0.09 (-0.78,0.61)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-0.06 (-0.52,0.41)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0.11 (-0.87,1.09)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0.04 (-0.34,0.43)</w:t>
            </w:r>
          </w:p>
        </w:tc>
      </w:tr>
      <w:tr w:rsidR="007F4884" w:rsidRPr="005B1CF5" w:rsidTr="00E25495">
        <w:trPr>
          <w:trHeight w:val="3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Cell fraction&lt;10%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0.80 (0.56-1.15)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0.235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-0.22 (-1.22,0.78)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-0.14 (-0.77,0.50)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-0.45 (-1.76,0.85)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-0.21 (-0.89,0.47)</w:t>
            </w:r>
          </w:p>
        </w:tc>
      </w:tr>
      <w:tr w:rsidR="007F4884" w:rsidRPr="005B1CF5" w:rsidTr="00E25495">
        <w:trPr>
          <w:trHeight w:val="3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Cell fraction≥10%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1.18 (0.65-2.12)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0.589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-0.40 (-2.05,1.24)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-0.28 (-1.49,0.93)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1.05 (-1.55,3.66)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0.29 (-0.29,0.87)</w:t>
            </w:r>
          </w:p>
        </w:tc>
      </w:tr>
      <w:tr w:rsidR="007F4884" w:rsidRPr="005B1CF5" w:rsidTr="00E25495">
        <w:trPr>
          <w:trHeight w:val="3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Mosaic copy gain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1.43 (0.67-3.03)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0.356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1.12 (-0.20,2.44)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0.67 (0.09,1.26)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1.60 (-0.86,4.06)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0.56 (0.08,1.04)</w:t>
            </w:r>
          </w:p>
        </w:tc>
      </w:tr>
      <w:tr w:rsidR="007F4884" w:rsidRPr="005B1CF5" w:rsidTr="00E25495">
        <w:trPr>
          <w:trHeight w:val="3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Cell fraction&lt;10%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1.46 (0.54-3.94)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0.450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0.42 (-1.25,2.10)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0.34 (-0.88,1.57)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1.27 (-1.78,4.32)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0.45 (-0.27,1.18)</w:t>
            </w:r>
          </w:p>
        </w:tc>
      </w:tr>
      <w:tr w:rsidR="007F4884" w:rsidRPr="005B1CF5" w:rsidTr="00E25495">
        <w:trPr>
          <w:trHeight w:val="3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Cell fraction≥10%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1.37 (0.43-4.35)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0.594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2.87 (0.44,5.31)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0.95 (0.89,1.00)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2.52 (-2.23,7.27)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0.74 (0.37,1.11)</w:t>
            </w:r>
          </w:p>
        </w:tc>
      </w:tr>
      <w:tr w:rsidR="007F4884" w:rsidRPr="005B1CF5" w:rsidTr="00E25495">
        <w:trPr>
          <w:trHeight w:val="3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Mosaic copy loss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0.83 (0.44-1.57)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0.562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0.05 (-1.48,1.57)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0.03 (-1.00,1.06)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-0.24 (-2.24,1.76)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-0.13 (-1.28,1.02)</w:t>
            </w:r>
          </w:p>
        </w:tc>
      </w:tr>
      <w:tr w:rsidR="007F4884" w:rsidRPr="005B1CF5" w:rsidTr="00E25495">
        <w:trPr>
          <w:trHeight w:val="3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Cell fraction&lt;10%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0.66 (0.23-1.86)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0.429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0.89 (-1.25,3.03)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0.48 (-0.49,1.45)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-0.91 (-3.13,1.31)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-1.21 (-6.05, 3.64)</w:t>
            </w:r>
          </w:p>
        </w:tc>
      </w:tr>
      <w:tr w:rsidR="007F4884" w:rsidRPr="005B1CF5" w:rsidTr="00E25495">
        <w:trPr>
          <w:trHeight w:val="3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Cell fraction≥10%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0.95 (0.42-2.16)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0.910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-0.67 (-2.98,1.65)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-0.50 (-2.41,1.41)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0.17 (-3.14,3.48)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0.06 (-1.03,1.15)</w:t>
            </w:r>
          </w:p>
        </w:tc>
      </w:tr>
      <w:tr w:rsidR="007F4884" w:rsidRPr="005B1CF5" w:rsidTr="00E25495">
        <w:trPr>
          <w:trHeight w:val="709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Copy-neutral loss of heterozygosity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0.85 (0.58-1.24)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0.397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-0.46 (-1.53,0.62)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-0.31 (-1.08,0.47)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-0.15 (-1.61,1.31)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-0.06 (-0.66,0.54)</w:t>
            </w:r>
          </w:p>
        </w:tc>
      </w:tr>
      <w:tr w:rsidR="007F4884" w:rsidRPr="005B1CF5" w:rsidTr="00E25495">
        <w:trPr>
          <w:trHeight w:val="3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Cell fraction&lt;10%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0.74 (0.49-1.12)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0.160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-0.43 (-1.65,0.79)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-0.26 (-1.06,0.53)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-0.68 (-2.24,0.89)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-0.32 (-1.17,0.54)</w:t>
            </w:r>
          </w:p>
        </w:tc>
      </w:tr>
      <w:tr w:rsidR="007F4884" w:rsidRPr="005B1CF5" w:rsidTr="00E25495">
        <w:trPr>
          <w:trHeight w:val="32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Cell fraction≥10%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1.70 (0.65-4.43)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0.277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-0.91 (-3.62,1.81)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-0.85 (-3.82,2.12)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2.57 (-2.35,7.49)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0.49 (-0.14,1.11)</w:t>
            </w:r>
          </w:p>
        </w:tc>
      </w:tr>
      <w:tr w:rsidR="007F4884" w:rsidRPr="005B1CF5" w:rsidTr="00E25495">
        <w:trPr>
          <w:trHeight w:val="310"/>
        </w:trPr>
        <w:tc>
          <w:tcPr>
            <w:tcW w:w="1474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lastRenderedPageBreak/>
              <w:t xml:space="preserve">Abbreviations: AP, attributable proportion; RERI, relative excess risk due to interaction; HR, hazard ratio; 95% CI, 95% confidence interval. </w:t>
            </w:r>
          </w:p>
        </w:tc>
      </w:tr>
      <w:tr w:rsidR="007F4884" w:rsidRPr="005B1CF5" w:rsidTr="00E25495">
        <w:trPr>
          <w:trHeight w:val="207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5B1CF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>Estimates were adjusted for age, age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>2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>, sex, smoking status, drinking status, the top 10 principal components of ancestry and genotyping batch.</w:t>
            </w:r>
          </w:p>
        </w:tc>
      </w:tr>
      <w:tr w:rsidR="007F4884" w:rsidRPr="005B1CF5" w:rsidTr="00E25495">
        <w:trPr>
          <w:trHeight w:val="298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5B1CF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>Genetic risk was categorized into low (bottom quintile), intermediate (quintiles 2-4), and high (top quintile) according to distributions of PRS among individuals without cirrhosis.</w:t>
            </w:r>
          </w:p>
        </w:tc>
      </w:tr>
      <w:tr w:rsidR="007F4884" w:rsidRPr="005B1CF5" w:rsidTr="00E25495">
        <w:trPr>
          <w:trHeight w:val="265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884" w:rsidRPr="005B1CF5" w:rsidRDefault="007F4884" w:rsidP="00E25495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5B1CF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When evaluating the interaction effects, 1934 mosaic copy gain carriers, 2781 mosaic copy loss carriers, 7514 mosaic copy-neutral loss of heterozygosity carriers, and 432,675 non-carriers of any mCA types were included, where non-carriers of any mCA types were set as the reference group. </w:t>
            </w:r>
          </w:p>
        </w:tc>
      </w:tr>
    </w:tbl>
    <w:p w:rsidR="007F4884" w:rsidRPr="005B1CF5" w:rsidRDefault="007F4884" w:rsidP="007F4884">
      <w:pPr>
        <w:tabs>
          <w:tab w:val="left" w:pos="720"/>
        </w:tabs>
        <w:rPr>
          <w:rFonts w:ascii="Times New Roman" w:hAnsi="Times New Roman" w:cs="Times New Roman"/>
        </w:rPr>
        <w:sectPr w:rsidR="007F4884" w:rsidRPr="005B1CF5" w:rsidSect="00A57A64">
          <w:pgSz w:w="16838" w:h="11906" w:orient="landscape"/>
          <w:pgMar w:top="1797" w:right="1440" w:bottom="1797" w:left="1440" w:header="851" w:footer="992" w:gutter="0"/>
          <w:cols w:space="425"/>
          <w:docGrid w:linePitch="326"/>
        </w:sectPr>
      </w:pPr>
    </w:p>
    <w:p w:rsidR="007F4884" w:rsidRPr="005B1CF5" w:rsidRDefault="007F4884" w:rsidP="007F4884">
      <w:pPr>
        <w:tabs>
          <w:tab w:val="left" w:pos="720"/>
        </w:tabs>
        <w:rPr>
          <w:rFonts w:ascii="Times New Roman" w:hAnsi="Times New Roman" w:cs="Times New Roman"/>
        </w:rPr>
      </w:pPr>
    </w:p>
    <w:p w:rsidR="006F4D43" w:rsidRDefault="006F4D43"/>
    <w:sectPr w:rsidR="006F4D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7F4884"/>
    <w:rsid w:val="006F4D43"/>
    <w:rsid w:val="007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2024-05-20T22:27:00Z</dcterms:created>
  <dcterms:modified xsi:type="dcterms:W3CDTF">2024-05-20T22:27:00Z</dcterms:modified>
</cp:coreProperties>
</file>