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19" w:rsidRPr="005B1CF5" w:rsidRDefault="00E95719" w:rsidP="00E95719">
      <w:pPr>
        <w:tabs>
          <w:tab w:val="left" w:pos="720"/>
        </w:tabs>
        <w:rPr>
          <w:rFonts w:ascii="Times New Roman" w:hAnsi="Times New Roman" w:cs="Times New Roman"/>
        </w:rPr>
      </w:pPr>
    </w:p>
    <w:tbl>
      <w:tblPr>
        <w:tblW w:w="10120" w:type="dxa"/>
        <w:jc w:val="center"/>
        <w:tblLook w:val="04A0"/>
      </w:tblPr>
      <w:tblGrid>
        <w:gridCol w:w="3083"/>
        <w:gridCol w:w="1814"/>
        <w:gridCol w:w="1959"/>
        <w:gridCol w:w="2074"/>
        <w:gridCol w:w="1190"/>
      </w:tblGrid>
      <w:tr w:rsidR="00E95719" w:rsidRPr="005B1CF5" w:rsidTr="00E25495">
        <w:trPr>
          <w:trHeight w:val="290"/>
          <w:jc w:val="center"/>
        </w:trPr>
        <w:tc>
          <w:tcPr>
            <w:tcW w:w="10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Supplementary Table 9. </w:t>
            </w:r>
            <w:bookmarkStart w:id="0" w:name="_Hlk141448127"/>
            <w:r w:rsidRPr="005B1CF5">
              <w:rPr>
                <w:rFonts w:ascii="Times New Roman" w:eastAsia="等线" w:hAnsi="Times New Roman" w:cs="Times New Roman"/>
                <w:b/>
                <w:bCs/>
              </w:rPr>
              <w:t>Risk of cirrhosis according to copy-neutral loss of heterozygosity (LOH) and genetic categories</w:t>
            </w:r>
            <w:bookmarkEnd w:id="0"/>
            <w:r w:rsidRPr="005B1CF5">
              <w:rPr>
                <w:rFonts w:ascii="Times New Roman" w:eastAsia="等线" w:hAnsi="Times New Roman" w:cs="Times New Roman"/>
                <w:b/>
                <w:bCs/>
                <w:vertAlign w:val="superscript"/>
              </w:rPr>
              <w:t>a,b</w:t>
            </w:r>
          </w:p>
        </w:tc>
      </w:tr>
      <w:tr w:rsidR="00E95719" w:rsidRPr="005B1CF5" w:rsidTr="00E25495">
        <w:trPr>
          <w:trHeight w:val="730"/>
          <w:jc w:val="center"/>
        </w:trPr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Subgroup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No. of Cases/ Total No.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Incidence/ 100,000 person-year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HR (95% CI)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455C4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</w:t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 value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Low genetic risk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LOH event 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393/86703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37.23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1.00 (reference)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Reference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LOH event 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14/1443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80.71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1.90 [1.12, 3.24]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0.018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 &lt;10%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12/1214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81.85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1.91 [1.08, 3.40]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0.027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 ≥10%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2/229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74.51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1.83 [0.46, 7.36]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0.392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Intermediate genetic risk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LOH event 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1425/262683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44.54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1.19 [1.07, 1.33]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0.002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LOH event 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35/4532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64.56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1.56 [1.10, 2.20]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0.012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 &lt;10%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31/3798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68.01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1.65 [1.15, 2.38]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0.007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 ≥10%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4/734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46.35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1.08 [0.40, 2.90]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0.872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High genetic risk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LOH event 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763/87447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71.84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1.95 [1.73, 2.20]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&lt;0.001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LOH event 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20/1539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109.31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2.64 [1.68, 4.13]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&lt;0.001</w:t>
            </w:r>
          </w:p>
        </w:tc>
      </w:tr>
      <w:tr w:rsidR="00E95719" w:rsidRPr="005B1CF5" w:rsidTr="00E25495">
        <w:trPr>
          <w:trHeight w:val="280"/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 &lt;10%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14/1307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89.77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2.16 [1.27, 3.69]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0.005</w:t>
            </w:r>
          </w:p>
        </w:tc>
      </w:tr>
      <w:tr w:rsidR="00E95719" w:rsidRPr="005B1CF5" w:rsidTr="00E25495">
        <w:trPr>
          <w:trHeight w:val="290"/>
          <w:jc w:val="center"/>
        </w:trPr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 ≥10%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6/232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222.17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5.39 [2.41, 12.07]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&lt;0.001</w:t>
            </w:r>
          </w:p>
        </w:tc>
      </w:tr>
      <w:tr w:rsidR="00E95719" w:rsidRPr="005B1CF5" w:rsidTr="00E25495">
        <w:trPr>
          <w:trHeight w:val="580"/>
          <w:jc w:val="center"/>
        </w:trPr>
        <w:tc>
          <w:tcPr>
            <w:tcW w:w="101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The cell fraction was not able to be estimated for a total of 4298 individuals with undetermined mCA merely. Non-carriers of copy-neutral loss of heterozygosity in the low genetic risk category were set as the reference group. </w:t>
            </w:r>
          </w:p>
        </w:tc>
      </w:tr>
      <w:tr w:rsidR="00E95719" w:rsidRPr="005B1CF5" w:rsidTr="00E25495">
        <w:trPr>
          <w:trHeight w:val="144"/>
          <w:jc w:val="center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719" w:rsidRPr="005B1CF5" w:rsidRDefault="00E95719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b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Estimates were adjusted for age, age2, sex, smoking status, drinking status, the top 10 principal components of ancestry and genotyping batch.</w:t>
            </w:r>
          </w:p>
        </w:tc>
      </w:tr>
    </w:tbl>
    <w:p w:rsidR="00E95719" w:rsidRPr="005B1CF5" w:rsidRDefault="00E95719" w:rsidP="00E95719">
      <w:pPr>
        <w:tabs>
          <w:tab w:val="left" w:pos="720"/>
        </w:tabs>
        <w:rPr>
          <w:rFonts w:ascii="Times New Roman" w:hAnsi="Times New Roman" w:cs="Times New Roman"/>
        </w:rPr>
      </w:pPr>
      <w:r w:rsidRPr="005B1CF5">
        <w:rPr>
          <w:rFonts w:ascii="Times New Roman" w:hAnsi="Times New Roman" w:cs="Times New Roman"/>
        </w:rPr>
        <w:br w:type="page"/>
      </w:r>
    </w:p>
    <w:p w:rsidR="00B96F8F" w:rsidRDefault="00B96F8F"/>
    <w:sectPr w:rsidR="00B96F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E95719"/>
    <w:rsid w:val="00B96F8F"/>
    <w:rsid w:val="00E9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2024-05-20T22:27:00Z</dcterms:created>
  <dcterms:modified xsi:type="dcterms:W3CDTF">2024-05-20T22:27:00Z</dcterms:modified>
</cp:coreProperties>
</file>