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E1" w:rsidRPr="005B1CF5" w:rsidRDefault="00A132E1" w:rsidP="00A132E1">
      <w:pPr>
        <w:rPr>
          <w:rFonts w:ascii="Times New Roman" w:hAnsi="Times New Roman" w:cs="Times New Roman"/>
        </w:rPr>
      </w:pPr>
    </w:p>
    <w:tbl>
      <w:tblPr>
        <w:tblW w:w="10700" w:type="dxa"/>
        <w:jc w:val="center"/>
        <w:tblLook w:val="04A0"/>
      </w:tblPr>
      <w:tblGrid>
        <w:gridCol w:w="2328"/>
        <w:gridCol w:w="2552"/>
        <w:gridCol w:w="2551"/>
        <w:gridCol w:w="2268"/>
        <w:gridCol w:w="1001"/>
      </w:tblGrid>
      <w:tr w:rsidR="00A132E1" w:rsidRPr="005B1CF5" w:rsidTr="00E25495">
        <w:trPr>
          <w:trHeight w:val="58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hAnsi="Times New Roman" w:cs="Times New Roman"/>
              </w:rPr>
              <w:tab/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Supplementary Table 7. </w:t>
            </w:r>
            <w:bookmarkStart w:id="0" w:name="_Hlk141448082"/>
            <w:r w:rsidRPr="005B1CF5">
              <w:rPr>
                <w:rFonts w:ascii="Times New Roman" w:eastAsia="等线" w:hAnsi="Times New Roman" w:cs="Times New Roman"/>
                <w:b/>
                <w:bCs/>
              </w:rPr>
              <w:t>Associations of different types of mosaic chromosomal alterations (mCAs) with the risk of decompensated cirrhosis</w:t>
            </w:r>
            <w:bookmarkEnd w:id="0"/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a,b</w:t>
            </w:r>
          </w:p>
        </w:tc>
      </w:tr>
      <w:tr w:rsidR="00A132E1" w:rsidRPr="005B1CF5" w:rsidTr="00E25495">
        <w:trPr>
          <w:trHeight w:val="570"/>
          <w:jc w:val="center"/>
        </w:trPr>
        <w:tc>
          <w:tcPr>
            <w:tcW w:w="23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participants with mCA events/number of participants (%)</w:t>
            </w:r>
          </w:p>
        </w:tc>
        <w:tc>
          <w:tcPr>
            <w:tcW w:w="32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Decompensated cirrhosis</w:t>
            </w:r>
          </w:p>
        </w:tc>
      </w:tr>
      <w:tr w:rsidR="00A132E1" w:rsidRPr="005B1CF5" w:rsidTr="00E25495">
        <w:trPr>
          <w:trHeight w:val="290"/>
          <w:jc w:val="center"/>
        </w:trPr>
        <w:tc>
          <w:tcPr>
            <w:tcW w:w="2328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Individuals with decompensated cirrhosis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Individuals without decompensated cirrhosis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mCA group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All detectable mCAs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61/1688 (3.61%)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11611/442659 (2.62%)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1.23 (0.95-1.58)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0.118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40/1667 (2.40%)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8494/439542 (1.93%)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1.10 (0.80-1.50)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0.560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21/1648 (1.27%)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3117/434165 (0.72%)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1.58 (1.03-2.44)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0.037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Mosaic copy gain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12/1639 (0.73%)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1922/432970 (0.44%)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1.35 (0.77-2.39)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0.297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7/1634 (0.43%)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1298/432346 (0.30%)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1.12 (0.53-2.36)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0.764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5/1632 (0.31%)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624/431672 (0.15%)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1.91 (0.80-4.61)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0.147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Mosaic copy loss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13/1640 (0.79%)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2768/433816 (0.64%)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1.08 (0.63-1.86)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0.783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4/1631 (0.25%)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1137/432185 (0.26%)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0.81 (0.30-2.16)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0.670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9/1636 (0.55%)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1631/432679 (0.38%)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1.27 (0.66-2.44)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0.477</w:t>
            </w:r>
          </w:p>
        </w:tc>
      </w:tr>
      <w:tr w:rsidR="00A132E1" w:rsidRPr="005B1CF5" w:rsidTr="00E25495">
        <w:trPr>
          <w:trHeight w:val="56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Copy-neutral loss of heterozygosity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40/1667 (2.40%)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7474/438522 (1.70%)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1.28 (0.94-1.75)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0.121</w:t>
            </w:r>
          </w:p>
        </w:tc>
      </w:tr>
      <w:tr w:rsidR="00A132E1" w:rsidRPr="005B1CF5" w:rsidTr="00E25495">
        <w:trPr>
          <w:trHeight w:val="27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30/1657 (1.81%)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6289/437337 (1.44%)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1.14 (0.80-1.64)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0.470</w:t>
            </w:r>
          </w:p>
        </w:tc>
      </w:tr>
      <w:tr w:rsidR="00A132E1" w:rsidRPr="005B1CF5" w:rsidTr="00E25495">
        <w:trPr>
          <w:trHeight w:val="290"/>
          <w:jc w:val="center"/>
        </w:trPr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10/1637 (0.61%)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1185/432233 (0.27%)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2.03 (1.09-3.78)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0.026</w:t>
            </w:r>
          </w:p>
        </w:tc>
      </w:tr>
      <w:tr w:rsidR="00A132E1" w:rsidRPr="005B1CF5" w:rsidTr="00E25495">
        <w:trPr>
          <w:trHeight w:val="280"/>
          <w:jc w:val="center"/>
        </w:trPr>
        <w:tc>
          <w:tcPr>
            <w:tcW w:w="107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 xml:space="preserve">Definition of abbreviations: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HR, hazard ratio; 95% CI, 95% confidence interval; het, heterogeneity.</w:t>
            </w:r>
          </w:p>
        </w:tc>
      </w:tr>
      <w:tr w:rsidR="00A132E1" w:rsidRPr="005B1CF5" w:rsidTr="00E25495">
        <w:trPr>
          <w:trHeight w:val="58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a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HRs and 95% CIs were estimated using Cox proportional-hazard models with adjustment for age, age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2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, sex, smoking status, drinking status, the top 10 principal components of ancestry and genotyping batch.</w:t>
            </w:r>
          </w:p>
        </w:tc>
      </w:tr>
      <w:tr w:rsidR="00A132E1" w:rsidRPr="005B1CF5" w:rsidTr="00E25495">
        <w:trPr>
          <w:trHeight w:val="60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2E1" w:rsidRPr="005B1CF5" w:rsidRDefault="00A132E1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b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Cell fraction was not able to be estimated for a total of 4298 individuals with undetermined mCA merely. Non-carriers of any mCA types were set as the reference group. </w:t>
            </w:r>
          </w:p>
        </w:tc>
      </w:tr>
    </w:tbl>
    <w:p w:rsidR="00A132E1" w:rsidRPr="005B1CF5" w:rsidRDefault="00A132E1" w:rsidP="00A132E1">
      <w:pPr>
        <w:tabs>
          <w:tab w:val="left" w:pos="720"/>
        </w:tabs>
        <w:rPr>
          <w:rFonts w:ascii="Times New Roman" w:hAnsi="Times New Roman" w:cs="Times New Roman"/>
        </w:rPr>
      </w:pPr>
      <w:r w:rsidRPr="005B1CF5">
        <w:rPr>
          <w:rFonts w:ascii="Times New Roman" w:hAnsi="Times New Roman" w:cs="Times New Roman"/>
        </w:rPr>
        <w:br w:type="page"/>
      </w:r>
    </w:p>
    <w:p w:rsidR="0052392E" w:rsidRDefault="0052392E"/>
    <w:sectPr w:rsidR="005239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A132E1"/>
    <w:rsid w:val="0052392E"/>
    <w:rsid w:val="00A1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2024-05-20T22:27:00Z</dcterms:created>
  <dcterms:modified xsi:type="dcterms:W3CDTF">2024-05-20T22:27:00Z</dcterms:modified>
</cp:coreProperties>
</file>