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A" w:rsidRPr="005B1CF5" w:rsidRDefault="0051765A" w:rsidP="0051765A">
      <w:pPr>
        <w:rPr>
          <w:rFonts w:ascii="Times New Roman" w:hAnsi="Times New Roman" w:cs="Times New Roman"/>
        </w:rPr>
      </w:pPr>
    </w:p>
    <w:p w:rsidR="0051765A" w:rsidRPr="005B1CF5" w:rsidRDefault="0051765A" w:rsidP="0051765A">
      <w:pPr>
        <w:rPr>
          <w:rFonts w:ascii="Times New Roman" w:hAnsi="Times New Roman" w:cs="Times New Roman"/>
        </w:rPr>
        <w:sectPr w:rsidR="0051765A" w:rsidRPr="005B1CF5" w:rsidSect="00A57A64">
          <w:pgSz w:w="16838" w:h="11906" w:orient="landscape"/>
          <w:pgMar w:top="1797" w:right="1440" w:bottom="1797" w:left="1440" w:header="851" w:footer="992" w:gutter="0"/>
          <w:cols w:space="425"/>
          <w:docGrid w:linePitch="326"/>
        </w:sectPr>
      </w:pPr>
    </w:p>
    <w:tbl>
      <w:tblPr>
        <w:tblW w:w="10938" w:type="dxa"/>
        <w:jc w:val="center"/>
        <w:tblLook w:val="04A0"/>
      </w:tblPr>
      <w:tblGrid>
        <w:gridCol w:w="2589"/>
        <w:gridCol w:w="2835"/>
        <w:gridCol w:w="2552"/>
        <w:gridCol w:w="1985"/>
        <w:gridCol w:w="977"/>
      </w:tblGrid>
      <w:tr w:rsidR="0051765A" w:rsidRPr="005B1CF5" w:rsidTr="00E25495">
        <w:trPr>
          <w:trHeight w:val="759"/>
          <w:jc w:val="center"/>
        </w:trPr>
        <w:tc>
          <w:tcPr>
            <w:tcW w:w="10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lastRenderedPageBreak/>
              <w:t xml:space="preserve">Supplementary Table 6. </w:t>
            </w:r>
            <w:bookmarkStart w:id="0" w:name="_Hlk141448013"/>
            <w:r w:rsidRPr="005B1CF5">
              <w:rPr>
                <w:rFonts w:ascii="Times New Roman" w:eastAsia="等线" w:hAnsi="Times New Roman" w:cs="Times New Roman"/>
                <w:b/>
                <w:bCs/>
              </w:rPr>
              <w:t>Associations of different types of mosaic chromosomal alterations (mCAs) with the risk of compensated cirrhosis</w:t>
            </w:r>
            <w:bookmarkEnd w:id="0"/>
            <w:r w:rsidRPr="005B1CF5">
              <w:rPr>
                <w:rFonts w:ascii="Times New Roman" w:eastAsia="等线" w:hAnsi="Times New Roman" w:cs="Times New Roman"/>
                <w:b/>
                <w:bCs/>
                <w:vertAlign w:val="superscript"/>
              </w:rPr>
              <w:t>a,b</w:t>
            </w:r>
          </w:p>
        </w:tc>
      </w:tr>
      <w:tr w:rsidR="0051765A" w:rsidRPr="005B1CF5" w:rsidTr="00E25495">
        <w:trPr>
          <w:trHeight w:val="629"/>
          <w:jc w:val="center"/>
        </w:trPr>
        <w:tc>
          <w:tcPr>
            <w:tcW w:w="258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 w:hint="eastAsia"/>
                <w:b/>
                <w:bCs/>
              </w:rPr>
              <w:t xml:space="preserve">　</w:t>
            </w:r>
          </w:p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 w:hint="eastAsia"/>
                <w:b/>
                <w:bCs/>
              </w:rPr>
              <w:t xml:space="preserve">　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Number of participants with mCA events/number of participants (%)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Compensated cirrhosis</w:t>
            </w:r>
          </w:p>
        </w:tc>
      </w:tr>
      <w:tr w:rsidR="0051765A" w:rsidRPr="005B1CF5" w:rsidTr="00E25495">
        <w:trPr>
          <w:trHeight w:val="314"/>
          <w:jc w:val="center"/>
        </w:trPr>
        <w:tc>
          <w:tcPr>
            <w:tcW w:w="2589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Individuals with compensated cirrhosis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Individuals without compensated cirrhosis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HR (95% CI)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455C4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</w:t>
            </w: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 value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mCA group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 xml:space="preserve">All detectable mCAs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70/1753 (3.99%)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11602/442594 (2.62%)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1.38 (1.09-1.76)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0.008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51/1734 (2.94%)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8483/439475 (1.93%)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1.37 (1.04-1.81)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0.027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19/1702 (1.12%)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3119/434111 (0.72%)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1.42 (0.90-2.24)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0.128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Mosaic copy gain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11/1694 (0.65%)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1923/432915 (0.44%)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1.25 (0.69-2.27)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0.458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5/1688 (0.30%)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1300/432292 (0.30%)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0.81 (0.34-1.95)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0.636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6/1689 (0.36%)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623/431615 (0.14%)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2.31 (1.03-5.14)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0.041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Mosaic copy loss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16/1699 (0.94%)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2765/433757 (0.64%)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1.31 (0.80-2.15)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0.277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7/1690 (0.41%)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1134/432126 (0.26%)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1.38 (0.65-2.89)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0.400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9/1692 (0.53%)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1631/432623 (0.38%)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1.27 (0.66-2.45)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0.475</w:t>
            </w:r>
          </w:p>
        </w:tc>
      </w:tr>
      <w:tr w:rsidR="0051765A" w:rsidRPr="005B1CF5" w:rsidTr="00E25495">
        <w:trPr>
          <w:trHeight w:val="607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B1CF5">
              <w:rPr>
                <w:rFonts w:ascii="Times New Roman" w:eastAsia="等线" w:hAnsi="Times New Roman" w:cs="Times New Roman"/>
                <w:b/>
                <w:bCs/>
              </w:rPr>
              <w:t>Copy-neutral loss of heterozygosity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48/1731 (2.77%)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7466/438458 (1.70%)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1.50 (1.13-2.00)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0.006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 xml:space="preserve">Cell fraction&lt;10%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41/1724 (2.38%)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6278/437270 (1.44%)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1.52 (1.11-2.07)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0.008</w:t>
            </w:r>
          </w:p>
        </w:tc>
      </w:tr>
      <w:tr w:rsidR="0051765A" w:rsidRPr="005B1CF5" w:rsidTr="00E25495">
        <w:trPr>
          <w:trHeight w:val="314"/>
          <w:jc w:val="center"/>
        </w:trPr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Cell fraction≥10%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7/1690 (0.41%)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1188/432180 (0.28%)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1.39 (0.66-2.93)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</w:rPr>
            </w:pPr>
            <w:r w:rsidRPr="005B1CF5">
              <w:rPr>
                <w:rFonts w:ascii="Times New Roman" w:eastAsia="等线" w:hAnsi="Times New Roman" w:cs="Times New Roman"/>
              </w:rPr>
              <w:t>0.380</w:t>
            </w:r>
          </w:p>
        </w:tc>
      </w:tr>
      <w:tr w:rsidR="0051765A" w:rsidRPr="005B1CF5" w:rsidTr="00E25495">
        <w:trPr>
          <w:trHeight w:val="303"/>
          <w:jc w:val="center"/>
        </w:trPr>
        <w:tc>
          <w:tcPr>
            <w:tcW w:w="109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i/>
                <w:iCs/>
                <w:sz w:val="20"/>
                <w:szCs w:val="20"/>
              </w:rPr>
              <w:t xml:space="preserve">Definition of abbreviations: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HR, hazard ratio; 95% CI, 95% confidence interval; het, heterogeneity.</w:t>
            </w:r>
          </w:p>
        </w:tc>
      </w:tr>
      <w:tr w:rsidR="0051765A" w:rsidRPr="005B1CF5" w:rsidTr="00E25495">
        <w:trPr>
          <w:trHeight w:val="629"/>
          <w:jc w:val="center"/>
        </w:trPr>
        <w:tc>
          <w:tcPr>
            <w:tcW w:w="10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a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 HRs and 95% CIs were estimated using Cox proportional-hazard models with adjustment for age, age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>2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>, sex, smoking status, drinking status, the top 10 principal components of ancestry and genotyping batch.</w:t>
            </w:r>
          </w:p>
        </w:tc>
      </w:tr>
      <w:tr w:rsidR="0051765A" w:rsidRPr="005B1CF5" w:rsidTr="00E25495">
        <w:trPr>
          <w:trHeight w:val="607"/>
          <w:jc w:val="center"/>
        </w:trPr>
        <w:tc>
          <w:tcPr>
            <w:tcW w:w="10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65A" w:rsidRPr="005B1CF5" w:rsidRDefault="0051765A" w:rsidP="00E25495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5B1CF5">
              <w:rPr>
                <w:rFonts w:ascii="Times New Roman" w:eastAsia="等线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5B1CF5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Cell fraction was not able to be estimated for a total of 4298 individuals with undetermined mCA merely. Non-carriers of any mCA types were set as the reference group. </w:t>
            </w:r>
          </w:p>
        </w:tc>
      </w:tr>
    </w:tbl>
    <w:p w:rsidR="0051765A" w:rsidRPr="005B1CF5" w:rsidRDefault="0051765A" w:rsidP="0051765A">
      <w:pPr>
        <w:rPr>
          <w:rFonts w:ascii="Times New Roman" w:hAnsi="Times New Roman" w:cs="Times New Roman"/>
        </w:rPr>
      </w:pPr>
    </w:p>
    <w:p w:rsidR="002810D8" w:rsidRDefault="002810D8"/>
    <w:sectPr w:rsidR="002810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51765A"/>
    <w:rsid w:val="002810D8"/>
    <w:rsid w:val="0051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2024-05-20T22:27:00Z</dcterms:created>
  <dcterms:modified xsi:type="dcterms:W3CDTF">2024-05-20T22:27:00Z</dcterms:modified>
</cp:coreProperties>
</file>