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A6" w:rsidRPr="005B1CF5" w:rsidRDefault="002936A6" w:rsidP="002936A6">
      <w:pPr>
        <w:rPr>
          <w:rFonts w:ascii="Times New Roman" w:hAnsi="Times New Roman" w:cs="Times New Roman"/>
        </w:rPr>
      </w:pPr>
    </w:p>
    <w:tbl>
      <w:tblPr>
        <w:tblW w:w="16165" w:type="dxa"/>
        <w:jc w:val="center"/>
        <w:tblLook w:val="04A0"/>
      </w:tblPr>
      <w:tblGrid>
        <w:gridCol w:w="2752"/>
        <w:gridCol w:w="2448"/>
        <w:gridCol w:w="2546"/>
        <w:gridCol w:w="1796"/>
        <w:gridCol w:w="1254"/>
        <w:gridCol w:w="1665"/>
        <w:gridCol w:w="1016"/>
        <w:gridCol w:w="1690"/>
        <w:gridCol w:w="998"/>
      </w:tblGrid>
      <w:tr w:rsidR="002936A6" w:rsidRPr="005B1CF5" w:rsidTr="00E25495">
        <w:trPr>
          <w:trHeight w:val="323"/>
          <w:jc w:val="center"/>
        </w:trPr>
        <w:tc>
          <w:tcPr>
            <w:tcW w:w="16165" w:type="dxa"/>
            <w:gridSpan w:val="9"/>
            <w:tcBorders>
              <w:top w:val="nil"/>
              <w:left w:val="nil"/>
              <w:bottom w:val="single" w:sz="8" w:space="0" w:color="000000"/>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 xml:space="preserve">Supplementary Table 5. </w:t>
            </w:r>
            <w:bookmarkStart w:id="0" w:name="_Hlk141447995"/>
            <w:r w:rsidRPr="005B1CF5">
              <w:rPr>
                <w:rFonts w:ascii="Times New Roman" w:eastAsia="等线" w:hAnsi="Times New Roman" w:cs="Times New Roman"/>
                <w:b/>
                <w:bCs/>
              </w:rPr>
              <w:t>Associations between autosomal mosaic chromosomal alterations (mCAs) and the risk of redefined cirrhosis</w:t>
            </w:r>
            <w:bookmarkEnd w:id="0"/>
            <w:r w:rsidRPr="005B1CF5">
              <w:rPr>
                <w:rFonts w:ascii="Times New Roman" w:eastAsia="等线" w:hAnsi="Times New Roman" w:cs="Times New Roman"/>
                <w:b/>
                <w:bCs/>
                <w:vertAlign w:val="superscript"/>
              </w:rPr>
              <w:t xml:space="preserve">c </w:t>
            </w:r>
            <w:r w:rsidRPr="005B1CF5">
              <w:rPr>
                <w:rFonts w:ascii="Times New Roman" w:eastAsia="等线" w:hAnsi="Times New Roman" w:cs="Times New Roman"/>
                <w:b/>
                <w:bCs/>
              </w:rPr>
              <w:t>(N=448,621)</w:t>
            </w:r>
          </w:p>
        </w:tc>
      </w:tr>
      <w:tr w:rsidR="002936A6" w:rsidRPr="005B1CF5" w:rsidTr="00E25495">
        <w:trPr>
          <w:trHeight w:val="599"/>
          <w:jc w:val="center"/>
        </w:trPr>
        <w:tc>
          <w:tcPr>
            <w:tcW w:w="2752" w:type="dxa"/>
            <w:vMerge w:val="restart"/>
            <w:tcBorders>
              <w:top w:val="nil"/>
              <w:left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hint="eastAsia"/>
              </w:rPr>
              <w:t xml:space="preserve">　</w:t>
            </w:r>
          </w:p>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hint="eastAsia"/>
              </w:rPr>
              <w:t xml:space="preserve">　</w:t>
            </w:r>
          </w:p>
        </w:tc>
        <w:tc>
          <w:tcPr>
            <w:tcW w:w="4994" w:type="dxa"/>
            <w:gridSpan w:val="2"/>
            <w:tcBorders>
              <w:top w:val="single" w:sz="8" w:space="0" w:color="auto"/>
              <w:left w:val="nil"/>
              <w:bottom w:val="single" w:sz="4" w:space="0" w:color="auto"/>
              <w:right w:val="nil"/>
            </w:tcBorders>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Number of participants with mCA events/number of participants (%)</w:t>
            </w:r>
          </w:p>
        </w:tc>
        <w:tc>
          <w:tcPr>
            <w:tcW w:w="3050" w:type="dxa"/>
            <w:gridSpan w:val="2"/>
            <w:tcBorders>
              <w:top w:val="single" w:sz="8" w:space="0" w:color="auto"/>
              <w:left w:val="nil"/>
              <w:bottom w:val="nil"/>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Univariable Model</w:t>
            </w:r>
          </w:p>
        </w:tc>
        <w:tc>
          <w:tcPr>
            <w:tcW w:w="2681" w:type="dxa"/>
            <w:gridSpan w:val="2"/>
            <w:tcBorders>
              <w:top w:val="single" w:sz="8" w:space="0" w:color="auto"/>
              <w:left w:val="nil"/>
              <w:bottom w:val="nil"/>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Multivariable Model</w:t>
            </w:r>
            <w:r w:rsidRPr="005B1CF5">
              <w:rPr>
                <w:rFonts w:ascii="Times New Roman" w:eastAsia="等线" w:hAnsi="Times New Roman" w:cs="Times New Roman"/>
                <w:b/>
                <w:bCs/>
                <w:vertAlign w:val="superscript"/>
              </w:rPr>
              <w:t>a</w:t>
            </w:r>
          </w:p>
        </w:tc>
        <w:tc>
          <w:tcPr>
            <w:tcW w:w="2688" w:type="dxa"/>
            <w:gridSpan w:val="2"/>
            <w:tcBorders>
              <w:top w:val="single" w:sz="8" w:space="0" w:color="auto"/>
              <w:left w:val="nil"/>
              <w:bottom w:val="nil"/>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Multivariable Model</w:t>
            </w:r>
            <w:r w:rsidRPr="005B1CF5">
              <w:rPr>
                <w:rFonts w:ascii="Times New Roman" w:eastAsia="等线" w:hAnsi="Times New Roman" w:cs="Times New Roman"/>
                <w:b/>
                <w:bCs/>
                <w:vertAlign w:val="superscript"/>
              </w:rPr>
              <w:t>b</w:t>
            </w:r>
          </w:p>
        </w:tc>
      </w:tr>
      <w:tr w:rsidR="002936A6" w:rsidRPr="005B1CF5" w:rsidTr="00E25495">
        <w:trPr>
          <w:trHeight w:val="275"/>
          <w:jc w:val="center"/>
        </w:trPr>
        <w:tc>
          <w:tcPr>
            <w:tcW w:w="2752" w:type="dxa"/>
            <w:vMerge/>
            <w:tcBorders>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rPr>
            </w:pPr>
          </w:p>
        </w:tc>
        <w:tc>
          <w:tcPr>
            <w:tcW w:w="2448"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Individuals with cirrhosis</w:t>
            </w:r>
          </w:p>
        </w:tc>
        <w:tc>
          <w:tcPr>
            <w:tcW w:w="2546"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Individuals without cirrhosis</w:t>
            </w:r>
          </w:p>
        </w:tc>
        <w:tc>
          <w:tcPr>
            <w:tcW w:w="1796"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HR (95% CI)</w:t>
            </w:r>
          </w:p>
        </w:tc>
        <w:tc>
          <w:tcPr>
            <w:tcW w:w="1254"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i/>
                <w:iCs/>
              </w:rPr>
            </w:pPr>
            <w:r w:rsidRPr="005455C4">
              <w:rPr>
                <w:rFonts w:ascii="Times New Roman" w:eastAsia="等线" w:hAnsi="Times New Roman" w:cs="Times New Roman"/>
                <w:b/>
                <w:bCs/>
                <w:i/>
                <w:iCs/>
              </w:rPr>
              <w:t>p</w:t>
            </w:r>
            <w:r w:rsidRPr="005B1CF5">
              <w:rPr>
                <w:rFonts w:ascii="Times New Roman" w:eastAsia="等线" w:hAnsi="Times New Roman" w:cs="Times New Roman"/>
                <w:b/>
                <w:bCs/>
                <w:i/>
                <w:iCs/>
              </w:rPr>
              <w:t xml:space="preserve"> </w:t>
            </w:r>
            <w:r w:rsidRPr="005B1CF5">
              <w:rPr>
                <w:rFonts w:ascii="Times New Roman" w:eastAsia="等线" w:hAnsi="Times New Roman" w:cs="Times New Roman"/>
                <w:b/>
                <w:bCs/>
              </w:rPr>
              <w:t>value</w:t>
            </w:r>
          </w:p>
        </w:tc>
        <w:tc>
          <w:tcPr>
            <w:tcW w:w="1665"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HR (95% CI)</w:t>
            </w:r>
          </w:p>
        </w:tc>
        <w:tc>
          <w:tcPr>
            <w:tcW w:w="1016"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i/>
                <w:iCs/>
              </w:rPr>
            </w:pPr>
            <w:r w:rsidRPr="005455C4">
              <w:rPr>
                <w:rFonts w:ascii="Times New Roman" w:eastAsia="等线" w:hAnsi="Times New Roman" w:cs="Times New Roman"/>
                <w:b/>
                <w:bCs/>
                <w:i/>
                <w:iCs/>
              </w:rPr>
              <w:t>p</w:t>
            </w:r>
            <w:r w:rsidRPr="005B1CF5">
              <w:rPr>
                <w:rFonts w:ascii="Times New Roman" w:eastAsia="等线" w:hAnsi="Times New Roman" w:cs="Times New Roman"/>
                <w:b/>
                <w:bCs/>
                <w:i/>
                <w:iCs/>
              </w:rPr>
              <w:t xml:space="preserve"> </w:t>
            </w:r>
            <w:r w:rsidRPr="005B1CF5">
              <w:rPr>
                <w:rFonts w:ascii="Times New Roman" w:eastAsia="等线" w:hAnsi="Times New Roman" w:cs="Times New Roman"/>
                <w:b/>
                <w:bCs/>
              </w:rPr>
              <w:t>value</w:t>
            </w:r>
          </w:p>
        </w:tc>
        <w:tc>
          <w:tcPr>
            <w:tcW w:w="1690"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HR (95% CI)</w:t>
            </w:r>
          </w:p>
        </w:tc>
        <w:tc>
          <w:tcPr>
            <w:tcW w:w="992" w:type="dxa"/>
            <w:tcBorders>
              <w:top w:val="nil"/>
              <w:left w:val="nil"/>
              <w:bottom w:val="single" w:sz="8" w:space="0" w:color="auto"/>
              <w:right w:val="nil"/>
            </w:tcBorders>
            <w:noWrap/>
            <w:vAlign w:val="center"/>
            <w:hideMark/>
          </w:tcPr>
          <w:p w:rsidR="002936A6" w:rsidRPr="005B1CF5" w:rsidRDefault="002936A6" w:rsidP="00E25495">
            <w:pPr>
              <w:rPr>
                <w:rFonts w:ascii="Times New Roman" w:eastAsia="等线" w:hAnsi="Times New Roman" w:cs="Times New Roman"/>
                <w:b/>
                <w:bCs/>
                <w:i/>
                <w:iCs/>
              </w:rPr>
            </w:pPr>
            <w:r w:rsidRPr="005455C4">
              <w:rPr>
                <w:rFonts w:ascii="Times New Roman" w:eastAsia="等线" w:hAnsi="Times New Roman" w:cs="Times New Roman"/>
                <w:b/>
                <w:bCs/>
                <w:i/>
                <w:iCs/>
              </w:rPr>
              <w:t>p</w:t>
            </w:r>
            <w:r w:rsidRPr="005B1CF5">
              <w:rPr>
                <w:rFonts w:ascii="Times New Roman" w:eastAsia="等线" w:hAnsi="Times New Roman" w:cs="Times New Roman"/>
                <w:b/>
                <w:bCs/>
                <w:i/>
                <w:iCs/>
              </w:rPr>
              <w:t xml:space="preserve"> </w:t>
            </w:r>
            <w:r w:rsidRPr="005B1CF5">
              <w:rPr>
                <w:rFonts w:ascii="Times New Roman" w:eastAsia="等线" w:hAnsi="Times New Roman" w:cs="Times New Roman"/>
                <w:b/>
                <w:bCs/>
              </w:rPr>
              <w:t>value</w:t>
            </w:r>
          </w:p>
        </w:tc>
      </w:tr>
      <w:tr w:rsidR="002936A6" w:rsidRPr="005B1CF5" w:rsidTr="00E25495">
        <w:trPr>
          <w:trHeight w:val="266"/>
          <w:jc w:val="center"/>
        </w:trPr>
        <w:tc>
          <w:tcPr>
            <w:tcW w:w="275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b/>
                <w:bCs/>
              </w:rPr>
            </w:pPr>
            <w:r w:rsidRPr="005B1CF5">
              <w:rPr>
                <w:rFonts w:ascii="Times New Roman" w:eastAsia="等线" w:hAnsi="Times New Roman" w:cs="Times New Roman"/>
                <w:b/>
                <w:bCs/>
              </w:rPr>
              <w:t>Cirrhosis</w:t>
            </w:r>
          </w:p>
        </w:tc>
        <w:tc>
          <w:tcPr>
            <w:tcW w:w="2448"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b/>
                <w:bCs/>
              </w:rPr>
            </w:pPr>
          </w:p>
        </w:tc>
        <w:tc>
          <w:tcPr>
            <w:tcW w:w="2546"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c>
          <w:tcPr>
            <w:tcW w:w="1796"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c>
          <w:tcPr>
            <w:tcW w:w="1254"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c>
          <w:tcPr>
            <w:tcW w:w="1665"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c>
          <w:tcPr>
            <w:tcW w:w="1016"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c>
          <w:tcPr>
            <w:tcW w:w="1690"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c>
          <w:tcPr>
            <w:tcW w:w="992" w:type="dxa"/>
            <w:tcBorders>
              <w:top w:val="nil"/>
              <w:left w:val="nil"/>
              <w:bottom w:val="nil"/>
              <w:right w:val="nil"/>
            </w:tcBorders>
            <w:noWrap/>
            <w:vAlign w:val="center"/>
            <w:hideMark/>
          </w:tcPr>
          <w:p w:rsidR="002936A6" w:rsidRPr="005B1CF5" w:rsidRDefault="002936A6" w:rsidP="00E25495">
            <w:pPr>
              <w:rPr>
                <w:rFonts w:ascii="Times New Roman" w:hAnsi="Times New Roman" w:cs="Times New Roman"/>
                <w:sz w:val="20"/>
                <w:szCs w:val="20"/>
              </w:rPr>
            </w:pPr>
          </w:p>
        </w:tc>
      </w:tr>
      <w:tr w:rsidR="002936A6" w:rsidRPr="005B1CF5" w:rsidTr="00E25495">
        <w:trPr>
          <w:trHeight w:val="266"/>
          <w:jc w:val="center"/>
        </w:trPr>
        <w:tc>
          <w:tcPr>
            <w:tcW w:w="275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All detectable mCAs</w:t>
            </w:r>
          </w:p>
        </w:tc>
        <w:tc>
          <w:tcPr>
            <w:tcW w:w="2448"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109/2130 (5.11%)</w:t>
            </w:r>
          </w:p>
        </w:tc>
        <w:tc>
          <w:tcPr>
            <w:tcW w:w="254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15861/446491 (3.55%)</w:t>
            </w:r>
          </w:p>
        </w:tc>
        <w:tc>
          <w:tcPr>
            <w:tcW w:w="179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1.50 (1.23-1.81)</w:t>
            </w:r>
          </w:p>
        </w:tc>
        <w:tc>
          <w:tcPr>
            <w:tcW w:w="1254"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&lt;0.001</w:t>
            </w:r>
          </w:p>
        </w:tc>
        <w:tc>
          <w:tcPr>
            <w:tcW w:w="1665"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1.31 (1.08-1.59)</w:t>
            </w:r>
          </w:p>
        </w:tc>
        <w:tc>
          <w:tcPr>
            <w:tcW w:w="101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0.006</w:t>
            </w:r>
          </w:p>
        </w:tc>
        <w:tc>
          <w:tcPr>
            <w:tcW w:w="1690"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1.31 (1.11-1.54)</w:t>
            </w:r>
          </w:p>
        </w:tc>
        <w:tc>
          <w:tcPr>
            <w:tcW w:w="99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0.001</w:t>
            </w:r>
          </w:p>
        </w:tc>
      </w:tr>
      <w:tr w:rsidR="002936A6" w:rsidRPr="005B1CF5" w:rsidTr="00E25495">
        <w:trPr>
          <w:trHeight w:val="266"/>
          <w:jc w:val="center"/>
        </w:trPr>
        <w:tc>
          <w:tcPr>
            <w:tcW w:w="275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Gain</w:t>
            </w:r>
          </w:p>
        </w:tc>
        <w:tc>
          <w:tcPr>
            <w:tcW w:w="2448"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14/2035 (0.69%)</w:t>
            </w:r>
          </w:p>
        </w:tc>
        <w:tc>
          <w:tcPr>
            <w:tcW w:w="254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1920/432550 (0.44%)</w:t>
            </w:r>
          </w:p>
        </w:tc>
        <w:tc>
          <w:tcPr>
            <w:tcW w:w="179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1.61 (0.95-2.73)</w:t>
            </w:r>
          </w:p>
        </w:tc>
        <w:tc>
          <w:tcPr>
            <w:tcW w:w="1254"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0.075</w:t>
            </w:r>
          </w:p>
        </w:tc>
        <w:tc>
          <w:tcPr>
            <w:tcW w:w="1665"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1.30 (0.77-2.21)</w:t>
            </w:r>
          </w:p>
        </w:tc>
        <w:tc>
          <w:tcPr>
            <w:tcW w:w="101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0.322</w:t>
            </w:r>
          </w:p>
        </w:tc>
        <w:tc>
          <w:tcPr>
            <w:tcW w:w="1690"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1.30 (0.83-2.03)</w:t>
            </w:r>
          </w:p>
        </w:tc>
        <w:tc>
          <w:tcPr>
            <w:tcW w:w="99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0.253</w:t>
            </w:r>
          </w:p>
        </w:tc>
      </w:tr>
      <w:tr w:rsidR="002936A6" w:rsidRPr="005B1CF5" w:rsidTr="00E25495">
        <w:trPr>
          <w:trHeight w:val="266"/>
          <w:jc w:val="center"/>
        </w:trPr>
        <w:tc>
          <w:tcPr>
            <w:tcW w:w="275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Loss</w:t>
            </w:r>
          </w:p>
        </w:tc>
        <w:tc>
          <w:tcPr>
            <w:tcW w:w="2448"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21/2042 (1.03%)</w:t>
            </w:r>
          </w:p>
        </w:tc>
        <w:tc>
          <w:tcPr>
            <w:tcW w:w="254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2760/433390 (0.64%)</w:t>
            </w:r>
          </w:p>
        </w:tc>
        <w:tc>
          <w:tcPr>
            <w:tcW w:w="179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1.68 (1.09-2.58)</w:t>
            </w:r>
          </w:p>
        </w:tc>
        <w:tc>
          <w:tcPr>
            <w:tcW w:w="1254"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0.018</w:t>
            </w:r>
          </w:p>
        </w:tc>
        <w:tc>
          <w:tcPr>
            <w:tcW w:w="1665"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1.43 (0.93-2.20)</w:t>
            </w:r>
          </w:p>
        </w:tc>
        <w:tc>
          <w:tcPr>
            <w:tcW w:w="1016"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0.104</w:t>
            </w:r>
          </w:p>
        </w:tc>
        <w:tc>
          <w:tcPr>
            <w:tcW w:w="1690"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1.37 (0.96-1.97)</w:t>
            </w:r>
          </w:p>
        </w:tc>
        <w:tc>
          <w:tcPr>
            <w:tcW w:w="992" w:type="dxa"/>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0.083</w:t>
            </w:r>
          </w:p>
        </w:tc>
      </w:tr>
      <w:tr w:rsidR="002936A6" w:rsidRPr="005B1CF5" w:rsidTr="00E25495">
        <w:trPr>
          <w:trHeight w:val="542"/>
          <w:jc w:val="center"/>
        </w:trPr>
        <w:tc>
          <w:tcPr>
            <w:tcW w:w="2752" w:type="dxa"/>
            <w:tcBorders>
              <w:top w:val="nil"/>
              <w:left w:val="nil"/>
              <w:bottom w:val="single" w:sz="4" w:space="0" w:color="auto"/>
              <w:right w:val="nil"/>
            </w:tcBorders>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Copy-neutral loss of heterozygosity</w:t>
            </w:r>
          </w:p>
        </w:tc>
        <w:tc>
          <w:tcPr>
            <w:tcW w:w="2448" w:type="dxa"/>
            <w:tcBorders>
              <w:top w:val="nil"/>
              <w:left w:val="nil"/>
              <w:bottom w:val="single" w:sz="4" w:space="0" w:color="auto"/>
              <w:right w:val="nil"/>
            </w:tcBorders>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54/2075 (2.60%)</w:t>
            </w:r>
          </w:p>
        </w:tc>
        <w:tc>
          <w:tcPr>
            <w:tcW w:w="2546" w:type="dxa"/>
            <w:tcBorders>
              <w:top w:val="nil"/>
              <w:left w:val="nil"/>
              <w:bottom w:val="single" w:sz="4" w:space="0" w:color="auto"/>
              <w:right w:val="nil"/>
            </w:tcBorders>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7460/438090 (1.70%)</w:t>
            </w:r>
          </w:p>
        </w:tc>
        <w:tc>
          <w:tcPr>
            <w:tcW w:w="1796" w:type="dxa"/>
            <w:tcBorders>
              <w:top w:val="nil"/>
              <w:left w:val="nil"/>
              <w:bottom w:val="single" w:sz="4" w:space="0" w:color="auto"/>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1.57 (1.20-2.06)</w:t>
            </w:r>
          </w:p>
        </w:tc>
        <w:tc>
          <w:tcPr>
            <w:tcW w:w="1254" w:type="dxa"/>
            <w:tcBorders>
              <w:top w:val="nil"/>
              <w:left w:val="nil"/>
              <w:bottom w:val="single" w:sz="4" w:space="0" w:color="auto"/>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0.001</w:t>
            </w:r>
          </w:p>
        </w:tc>
        <w:tc>
          <w:tcPr>
            <w:tcW w:w="1665" w:type="dxa"/>
            <w:tcBorders>
              <w:top w:val="nil"/>
              <w:left w:val="nil"/>
              <w:bottom w:val="single" w:sz="4" w:space="0" w:color="auto"/>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1.40 (1.07-1.84)</w:t>
            </w:r>
          </w:p>
        </w:tc>
        <w:tc>
          <w:tcPr>
            <w:tcW w:w="1016" w:type="dxa"/>
            <w:tcBorders>
              <w:top w:val="nil"/>
              <w:left w:val="nil"/>
              <w:bottom w:val="single" w:sz="4" w:space="0" w:color="auto"/>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0.014</w:t>
            </w:r>
          </w:p>
        </w:tc>
        <w:tc>
          <w:tcPr>
            <w:tcW w:w="1690" w:type="dxa"/>
            <w:tcBorders>
              <w:top w:val="nil"/>
              <w:left w:val="nil"/>
              <w:bottom w:val="single" w:sz="4" w:space="0" w:color="auto"/>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1.41 (1.09-1.82)</w:t>
            </w:r>
          </w:p>
        </w:tc>
        <w:tc>
          <w:tcPr>
            <w:tcW w:w="992" w:type="dxa"/>
            <w:tcBorders>
              <w:top w:val="nil"/>
              <w:left w:val="nil"/>
              <w:bottom w:val="single" w:sz="4" w:space="0" w:color="auto"/>
              <w:right w:val="nil"/>
            </w:tcBorders>
            <w:noWrap/>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rPr>
              <w:t>0.010</w:t>
            </w:r>
          </w:p>
        </w:tc>
      </w:tr>
      <w:tr w:rsidR="002936A6" w:rsidRPr="005B1CF5" w:rsidTr="00E25495">
        <w:trPr>
          <w:trHeight w:val="266"/>
          <w:jc w:val="center"/>
        </w:trPr>
        <w:tc>
          <w:tcPr>
            <w:tcW w:w="16165" w:type="dxa"/>
            <w:gridSpan w:val="9"/>
            <w:tcBorders>
              <w:top w:val="single" w:sz="8" w:space="0" w:color="auto"/>
              <w:left w:val="nil"/>
              <w:bottom w:val="nil"/>
              <w:right w:val="nil"/>
            </w:tcBorders>
            <w:vAlign w:val="center"/>
            <w:hideMark/>
          </w:tcPr>
          <w:p w:rsidR="002936A6" w:rsidRPr="005B1CF5" w:rsidRDefault="002936A6" w:rsidP="00E25495">
            <w:pPr>
              <w:rPr>
                <w:rFonts w:ascii="Times New Roman" w:eastAsia="等线" w:hAnsi="Times New Roman" w:cs="Times New Roman"/>
              </w:rPr>
            </w:pPr>
            <w:r w:rsidRPr="005B1CF5">
              <w:rPr>
                <w:rFonts w:ascii="Times New Roman" w:eastAsia="等线" w:hAnsi="Times New Roman" w:cs="Times New Roman"/>
                <w:i/>
                <w:iCs/>
                <w:sz w:val="20"/>
                <w:szCs w:val="20"/>
              </w:rPr>
              <w:t>Definition of abbreviations</w:t>
            </w:r>
            <w:r w:rsidRPr="005B1CF5">
              <w:rPr>
                <w:rFonts w:ascii="Times New Roman" w:eastAsia="等线" w:hAnsi="Times New Roman" w:cs="Times New Roman"/>
                <w:sz w:val="20"/>
                <w:szCs w:val="20"/>
              </w:rPr>
              <w:t>: HR, hazard ratio; 95% CI, 95% confidence interval.</w:t>
            </w:r>
          </w:p>
        </w:tc>
      </w:tr>
      <w:tr w:rsidR="002936A6" w:rsidRPr="005B1CF5" w:rsidTr="00E25495">
        <w:trPr>
          <w:trHeight w:val="285"/>
          <w:jc w:val="center"/>
        </w:trPr>
        <w:tc>
          <w:tcPr>
            <w:tcW w:w="16165" w:type="dxa"/>
            <w:gridSpan w:val="9"/>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sz w:val="20"/>
                <w:szCs w:val="20"/>
              </w:rPr>
            </w:pPr>
            <w:r w:rsidRPr="005B1CF5">
              <w:rPr>
                <w:rFonts w:ascii="Times New Roman" w:eastAsia="等线" w:hAnsi="Times New Roman" w:cs="Times New Roman"/>
                <w:b/>
                <w:bCs/>
                <w:sz w:val="20"/>
                <w:szCs w:val="20"/>
                <w:vertAlign w:val="superscript"/>
              </w:rPr>
              <w:t>a</w:t>
            </w:r>
            <w:r w:rsidRPr="005B1CF5">
              <w:rPr>
                <w:rFonts w:ascii="Times New Roman" w:eastAsia="等线" w:hAnsi="Times New Roman" w:cs="Times New Roman"/>
                <w:sz w:val="20"/>
                <w:szCs w:val="20"/>
              </w:rPr>
              <w:t xml:space="preserve"> Carrier status of mCA was carrier of mCA vs non-carrier.</w:t>
            </w:r>
          </w:p>
        </w:tc>
      </w:tr>
      <w:tr w:rsidR="002936A6" w:rsidRPr="005B1CF5" w:rsidTr="00E25495">
        <w:trPr>
          <w:trHeight w:val="285"/>
          <w:jc w:val="center"/>
        </w:trPr>
        <w:tc>
          <w:tcPr>
            <w:tcW w:w="16165" w:type="dxa"/>
            <w:gridSpan w:val="9"/>
            <w:tcBorders>
              <w:top w:val="nil"/>
              <w:left w:val="nil"/>
              <w:bottom w:val="nil"/>
              <w:right w:val="nil"/>
            </w:tcBorders>
            <w:noWrap/>
            <w:vAlign w:val="center"/>
            <w:hideMark/>
          </w:tcPr>
          <w:p w:rsidR="002936A6" w:rsidRPr="005B1CF5" w:rsidRDefault="002936A6" w:rsidP="00E25495">
            <w:pPr>
              <w:rPr>
                <w:rFonts w:ascii="Times New Roman" w:eastAsia="等线" w:hAnsi="Times New Roman" w:cs="Times New Roman"/>
                <w:sz w:val="20"/>
                <w:szCs w:val="20"/>
              </w:rPr>
            </w:pPr>
            <w:r w:rsidRPr="005B1CF5">
              <w:rPr>
                <w:rFonts w:ascii="Times New Roman" w:eastAsia="等线" w:hAnsi="Times New Roman" w:cs="Times New Roman"/>
                <w:b/>
                <w:bCs/>
                <w:sz w:val="20"/>
                <w:szCs w:val="20"/>
                <w:vertAlign w:val="superscript"/>
              </w:rPr>
              <w:t>b</w:t>
            </w:r>
            <w:r w:rsidRPr="005B1CF5">
              <w:rPr>
                <w:rFonts w:ascii="Times New Roman" w:eastAsia="等线" w:hAnsi="Times New Roman" w:cs="Times New Roman"/>
                <w:sz w:val="20"/>
                <w:szCs w:val="20"/>
              </w:rPr>
              <w:t xml:space="preserve"> Carrier status of mCA was carrier of two or more mCAs vs carrier of one mCA vs non-carrier.</w:t>
            </w:r>
          </w:p>
        </w:tc>
      </w:tr>
      <w:tr w:rsidR="002936A6" w:rsidRPr="005B1CF5" w:rsidTr="00E25495">
        <w:trPr>
          <w:trHeight w:val="818"/>
          <w:jc w:val="center"/>
        </w:trPr>
        <w:tc>
          <w:tcPr>
            <w:tcW w:w="16165" w:type="dxa"/>
            <w:gridSpan w:val="9"/>
            <w:tcBorders>
              <w:top w:val="nil"/>
              <w:left w:val="nil"/>
              <w:bottom w:val="nil"/>
              <w:right w:val="nil"/>
            </w:tcBorders>
            <w:vAlign w:val="center"/>
            <w:hideMark/>
          </w:tcPr>
          <w:p w:rsidR="002936A6" w:rsidRPr="005B1CF5" w:rsidRDefault="002936A6" w:rsidP="00E25495">
            <w:pPr>
              <w:rPr>
                <w:rFonts w:ascii="Times New Roman" w:eastAsia="等线" w:hAnsi="Times New Roman" w:cs="Times New Roman"/>
                <w:sz w:val="20"/>
                <w:szCs w:val="20"/>
              </w:rPr>
            </w:pPr>
            <w:r w:rsidRPr="005B1CF5">
              <w:rPr>
                <w:rFonts w:ascii="Times New Roman" w:eastAsia="等线" w:hAnsi="Times New Roman" w:cs="Times New Roman"/>
                <w:b/>
                <w:bCs/>
                <w:sz w:val="20"/>
                <w:szCs w:val="20"/>
                <w:vertAlign w:val="superscript"/>
              </w:rPr>
              <w:t>c</w:t>
            </w:r>
            <w:r w:rsidRPr="005B1CF5">
              <w:rPr>
                <w:rFonts w:ascii="Times New Roman" w:eastAsia="等线" w:hAnsi="Times New Roman" w:cs="Times New Roman"/>
                <w:sz w:val="20"/>
                <w:szCs w:val="20"/>
              </w:rPr>
              <w:t xml:space="preserve"> 24 participants with prevalent redefined cirrhosis at baseline were excluded. Estimates were adjusted for age, age</w:t>
            </w:r>
            <w:r w:rsidRPr="005B1CF5">
              <w:rPr>
                <w:rFonts w:ascii="Times New Roman" w:eastAsia="等线" w:hAnsi="Times New Roman" w:cs="Times New Roman"/>
                <w:sz w:val="20"/>
                <w:szCs w:val="20"/>
                <w:vertAlign w:val="superscript"/>
              </w:rPr>
              <w:t>2</w:t>
            </w:r>
            <w:r w:rsidRPr="005B1CF5">
              <w:rPr>
                <w:rFonts w:ascii="Times New Roman" w:eastAsia="等线" w:hAnsi="Times New Roman" w:cs="Times New Roman"/>
                <w:sz w:val="20"/>
                <w:szCs w:val="20"/>
              </w:rPr>
              <w:t xml:space="preserve">, sex, smoking status, drinking status, the top 10 principal components of ancestry and genotyping batch. When evaluating the association between specific mCA types (i.e., copy, neutral loss of heterozygosity, gain, and loss) and risk of cirrhosis, non-carriers of any mCA types were set as the reference group. </w:t>
            </w:r>
          </w:p>
        </w:tc>
      </w:tr>
    </w:tbl>
    <w:p w:rsidR="002936A6" w:rsidRPr="005B1CF5" w:rsidRDefault="002936A6" w:rsidP="002936A6">
      <w:pPr>
        <w:rPr>
          <w:rFonts w:ascii="Times New Roman" w:hAnsi="Times New Roman" w:cs="Times New Roman"/>
        </w:rPr>
      </w:pPr>
      <w:r w:rsidRPr="005B1CF5">
        <w:rPr>
          <w:rFonts w:ascii="Times New Roman" w:hAnsi="Times New Roman" w:cs="Times New Roman"/>
        </w:rPr>
        <w:br w:type="page"/>
      </w:r>
    </w:p>
    <w:p w:rsidR="006E319D" w:rsidRDefault="006E319D"/>
    <w:sectPr w:rsidR="006E319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20"/>
  <w:characterSpacingControl w:val="doNotCompress"/>
  <w:compat>
    <w:useFELayout/>
  </w:compat>
  <w:rsids>
    <w:rsidRoot w:val="002936A6"/>
    <w:rsid w:val="002936A6"/>
    <w:rsid w:val="006E3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2024-05-20T22:26:00Z</dcterms:created>
  <dcterms:modified xsi:type="dcterms:W3CDTF">2024-05-20T22:26:00Z</dcterms:modified>
</cp:coreProperties>
</file>