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1" w:rsidRDefault="005E5FB1" w:rsidP="005E5FB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S3</w:t>
      </w:r>
      <w:r>
        <w:rPr>
          <w:rFonts w:ascii="Times New Roman" w:hAnsi="Times New Roman" w:cs="Times New Roman"/>
          <w:b/>
          <w:bCs/>
          <w:sz w:val="24"/>
        </w:rPr>
        <w:t xml:space="preserve">. Accuracy of scores in predicting ACLF development within 28 days in patients with ≥2 organ dysfunctions. </w:t>
      </w:r>
      <w:r>
        <w:rPr>
          <w:rFonts w:ascii="Times New Roman" w:hAnsi="Times New Roman" w:cs="Times New Roman"/>
          <w:sz w:val="24"/>
        </w:rPr>
        <w:t xml:space="preserve">(A) The derivation cohort. (B) The validation cohort. </w:t>
      </w:r>
    </w:p>
    <w:p w:rsidR="005E5FB1" w:rsidRDefault="005E5FB1" w:rsidP="005E5FB1">
      <w:pPr>
        <w:spacing w:line="480" w:lineRule="auto"/>
        <w:rPr>
          <w:rFonts w:ascii="Times New Roman" w:hAnsi="Times New Roman" w:cs="Times New Roman"/>
          <w:sz w:val="24"/>
        </w:rPr>
      </w:pPr>
    </w:p>
    <w:p w:rsidR="005E5FB1" w:rsidRDefault="005E5FB1" w:rsidP="005E5FB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60340" cy="2435225"/>
            <wp:effectExtent l="0" t="0" r="10160" b="317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C4" w:rsidRPr="005E5FB1" w:rsidRDefault="007009C4" w:rsidP="005E5FB1"/>
    <w:sectPr w:rsidR="007009C4" w:rsidRPr="005E5FB1" w:rsidSect="0067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641E5"/>
    <w:rsid w:val="00307A4B"/>
    <w:rsid w:val="005E5FB1"/>
    <w:rsid w:val="007009C4"/>
    <w:rsid w:val="0096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2022-08-03T06:55:00Z</dcterms:created>
  <dcterms:modified xsi:type="dcterms:W3CDTF">2022-08-09T02:52:00Z</dcterms:modified>
</cp:coreProperties>
</file>