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55C" w:rsidRDefault="0050755C" w:rsidP="0050755C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Supplementary Figure S2. The types of organ dysfunction in patients with and without ACLF development within 28 days.</w:t>
      </w:r>
      <w:r>
        <w:rPr>
          <w:rFonts w:ascii="Times New Roman" w:hAnsi="Times New Roman" w:cs="Times New Roman"/>
          <w:sz w:val="24"/>
        </w:rPr>
        <w:t xml:space="preserve"> (A-C) The derivation cohort. (D-F) The validation cohort. </w:t>
      </w:r>
    </w:p>
    <w:p w:rsidR="0050755C" w:rsidRDefault="0050755C" w:rsidP="0050755C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114300" distR="114300">
            <wp:extent cx="5269865" cy="2417445"/>
            <wp:effectExtent l="0" t="0" r="635" b="8255"/>
            <wp:docPr id="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2417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27F6" w:rsidRPr="0050755C" w:rsidRDefault="009827F6" w:rsidP="0050755C"/>
    <w:sectPr w:rsidR="009827F6" w:rsidRPr="0050755C" w:rsidSect="0020562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>
    <w:useFELayout/>
  </w:compat>
  <w:rsids>
    <w:rsidRoot w:val="005A083B"/>
    <w:rsid w:val="00205620"/>
    <w:rsid w:val="0050755C"/>
    <w:rsid w:val="005A083B"/>
    <w:rsid w:val="00982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6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0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8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3</cp:revision>
  <dcterms:created xsi:type="dcterms:W3CDTF">2022-08-03T06:55:00Z</dcterms:created>
  <dcterms:modified xsi:type="dcterms:W3CDTF">2022-08-09T02:51:00Z</dcterms:modified>
</cp:coreProperties>
</file>