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3A94" w14:textId="77777777" w:rsidR="00F34698" w:rsidRDefault="00F34698" w:rsidP="00F34698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6</w:t>
      </w:r>
    </w:p>
    <w:p w14:paraId="037B1424" w14:textId="77777777" w:rsidR="00F34698" w:rsidRPr="00492AB4" w:rsidRDefault="00F34698" w:rsidP="00F34698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 w:hint="eastAsia"/>
          <w:noProof/>
          <w:szCs w:val="21"/>
          <w:lang w:bidi="ar"/>
        </w:rPr>
        <w:drawing>
          <wp:inline distT="0" distB="0" distL="0" distR="0" wp14:anchorId="22F3E48F" wp14:editId="0193F4D4">
            <wp:extent cx="5486400" cy="6858540"/>
            <wp:effectExtent l="0" t="0" r="0" b="0"/>
            <wp:docPr id="11868838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83846" name="图片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04A6C" w14:textId="77777777" w:rsidR="00F34698" w:rsidRDefault="00F34698" w:rsidP="00F34698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6. Integrated network pharmacology and metabolomics identify candidate targets of JYXZF in MASLD.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(A) Venn diagram showing the overlap between 22,788 MASLD-related genes and 900 JYXZF-compound-related targets obtained from the </w:t>
      </w:r>
      <w:r w:rsidRPr="00492AB4">
        <w:rPr>
          <w:rFonts w:ascii="Times New Roman" w:eastAsia="SimSun" w:hAnsi="Times New Roman" w:cs="Times New Roman"/>
          <w:szCs w:val="21"/>
          <w:lang w:bidi="ar"/>
        </w:rPr>
        <w:lastRenderedPageBreak/>
        <w:t xml:space="preserve">HERB and TCMSP databases, yielding 708 shared targets. (B–D) </w:t>
      </w:r>
      <w:r>
        <w:rPr>
          <w:rFonts w:ascii="Times New Roman" w:eastAsia="SimSun" w:hAnsi="Times New Roman" w:cs="Times New Roman" w:hint="eastAsia"/>
          <w:szCs w:val="21"/>
          <w:lang w:bidi="ar"/>
        </w:rPr>
        <w:t>GO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, </w:t>
      </w:r>
      <w:r>
        <w:rPr>
          <w:rFonts w:ascii="Times New Roman" w:eastAsia="SimSun" w:hAnsi="Times New Roman" w:cs="Times New Roman" w:hint="eastAsia"/>
          <w:szCs w:val="21"/>
          <w:lang w:bidi="ar"/>
        </w:rPr>
        <w:t>KEGG</w:t>
      </w:r>
      <w:r w:rsidRPr="00492AB4">
        <w:rPr>
          <w:rFonts w:ascii="Times New Roman" w:eastAsia="SimSun" w:hAnsi="Times New Roman" w:cs="Times New Roman"/>
          <w:szCs w:val="21"/>
          <w:lang w:bidi="ar"/>
        </w:rPr>
        <w:t>, and Reactome enrichment analyses of the 708 shared targets. (E) Protein–protein interaction network constructed using STRING and visualized in Cytoscape. Topological analysis identified 66 key targets using a degree-centrality threshold equal to one-half of the maximum degree value. (F) Compound–Target–Pathway network constructed from the shared targets and their corresponding compounds, with 150 top-ranked targets selected according to degree. (G) Venn diagram integrating 66 key protein–protein interaction nodes, 150 top-ranked Compound–Target–Pathway network nodes, and 999 metabolomics-predicted targets, yielding 44 overlapping candidate targets. GO, Gene Ontology; HERB, high-throughput experiment- and reference-guided database of traditional Chinese medicine; JYXZF, Juanyu Xiaozhi Formula; KEGG, Kyoto Encyclopedia of Genes and Genomes; MASLD, metabolic dysfunction-associated steatotic liver disease; PPI, protein–protein interaction; STRING, Search Tool for the Retrieval of Interacting Genes/Proteins; TCMSP, Traditional Chinese Medicine Systems Pharmacology Database and Analysis Platform.</w:t>
      </w:r>
    </w:p>
    <w:p w14:paraId="5031F0ED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8D"/>
    <w:rsid w:val="004244E6"/>
    <w:rsid w:val="0052488B"/>
    <w:rsid w:val="0067415F"/>
    <w:rsid w:val="00F34698"/>
    <w:rsid w:val="00F4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7293E-8CB6-483E-AC5B-6905D265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1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1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1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1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1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1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1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1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1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1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1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1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1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2026-07-30T02:14:00Z</dcterms:created>
  <dcterms:modified xsi:type="dcterms:W3CDTF">2026-07-30T02:14:00Z</dcterms:modified>
</cp:coreProperties>
</file>