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A6C30" w14:textId="77777777" w:rsidR="00D06736" w:rsidRDefault="00D06736" w:rsidP="00D06736">
      <w:pPr>
        <w:spacing w:line="360" w:lineRule="auto"/>
        <w:rPr>
          <w:rFonts w:ascii="Times New Roman" w:eastAsia="SimSun" w:hAnsi="Times New Roman" w:cs="Times New Roman"/>
          <w:b/>
          <w:bCs/>
          <w:szCs w:val="21"/>
          <w:lang w:bidi="ar"/>
        </w:rPr>
      </w:pPr>
      <w:r>
        <w:rPr>
          <w:rFonts w:ascii="Times New Roman" w:eastAsia="SimSun" w:hAnsi="Times New Roman" w:cs="Times New Roman"/>
          <w:b/>
          <w:bCs/>
          <w:szCs w:val="21"/>
          <w:lang w:bidi="ar"/>
        </w:rPr>
        <w:t xml:space="preserve">Supplementary Fig. </w:t>
      </w:r>
      <w:r>
        <w:rPr>
          <w:rFonts w:ascii="Times New Roman" w:eastAsia="SimSun" w:hAnsi="Times New Roman" w:cs="Times New Roman" w:hint="eastAsia"/>
          <w:b/>
          <w:bCs/>
          <w:szCs w:val="21"/>
          <w:lang w:bidi="ar"/>
        </w:rPr>
        <w:t>2</w:t>
      </w:r>
    </w:p>
    <w:p w14:paraId="2AE52EDA" w14:textId="77777777" w:rsidR="00D06736" w:rsidRPr="00492AB4" w:rsidRDefault="00D06736" w:rsidP="00D06736">
      <w:pPr>
        <w:spacing w:line="360" w:lineRule="auto"/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/>
          <w:noProof/>
          <w:szCs w:val="21"/>
          <w:lang w:bidi="ar"/>
        </w:rPr>
        <w:drawing>
          <wp:inline distT="0" distB="0" distL="0" distR="0" wp14:anchorId="2EB91E59" wp14:editId="0ECE1679">
            <wp:extent cx="5486399" cy="7109089"/>
            <wp:effectExtent l="0" t="0" r="635" b="0"/>
            <wp:docPr id="10389624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962440" name="图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399" cy="710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32AA1" w14:textId="77777777" w:rsidR="00D06736" w:rsidRDefault="00D06736" w:rsidP="00D06736">
      <w:pPr>
        <w:spacing w:line="360" w:lineRule="auto"/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/>
          <w:b/>
          <w:bCs/>
          <w:szCs w:val="21"/>
          <w:lang w:bidi="ar"/>
        </w:rPr>
        <w:t xml:space="preserve">Supplementary Fig. </w:t>
      </w:r>
      <w:r w:rsidRPr="00492AB4">
        <w:rPr>
          <w:rFonts w:ascii="Times New Roman" w:eastAsia="SimSun" w:hAnsi="Times New Roman" w:cs="Times New Roman"/>
          <w:b/>
          <w:bCs/>
          <w:szCs w:val="21"/>
          <w:lang w:bidi="ar"/>
        </w:rPr>
        <w:t>2. JYXZF alleviates metabolic dysfunction, hepatic inflammation, lipid accumulation, and hepatic stellate cell activation.</w:t>
      </w:r>
      <w:r>
        <w:rPr>
          <w:rFonts w:ascii="Times New Roman" w:eastAsia="SimSun" w:hAnsi="Times New Roman" w:cs="Times New Roman" w:hint="eastAsia"/>
          <w:b/>
          <w:bCs/>
          <w:szCs w:val="21"/>
          <w:lang w:bidi="ar"/>
        </w:rPr>
        <w:t xml:space="preserve"> 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(A, B) </w:t>
      </w:r>
      <w:r>
        <w:rPr>
          <w:rFonts w:ascii="Times New Roman" w:eastAsia="SimSun" w:hAnsi="Times New Roman" w:cs="Times New Roman" w:hint="eastAsia"/>
          <w:szCs w:val="21"/>
          <w:lang w:bidi="ar"/>
        </w:rPr>
        <w:t>ITT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 and </w:t>
      </w:r>
      <w:r>
        <w:rPr>
          <w:rFonts w:ascii="Times New Roman" w:eastAsia="SimSun" w:hAnsi="Times New Roman" w:cs="Times New Roman" w:hint="eastAsia"/>
          <w:szCs w:val="21"/>
          <w:lang w:bidi="ar"/>
        </w:rPr>
        <w:t>GTT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 curves and the </w:t>
      </w:r>
      <w:r w:rsidRPr="00492AB4">
        <w:rPr>
          <w:rFonts w:ascii="Times New Roman" w:eastAsia="SimSun" w:hAnsi="Times New Roman" w:cs="Times New Roman"/>
          <w:szCs w:val="21"/>
          <w:lang w:bidi="ar"/>
        </w:rPr>
        <w:lastRenderedPageBreak/>
        <w:t xml:space="preserve">corresponding </w:t>
      </w:r>
      <w:r>
        <w:rPr>
          <w:rFonts w:ascii="Times New Roman" w:eastAsia="SimSun" w:hAnsi="Times New Roman" w:cs="Times New Roman" w:hint="eastAsia"/>
          <w:szCs w:val="21"/>
          <w:lang w:bidi="ar"/>
        </w:rPr>
        <w:t>AUC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 values from 0 to 120 min in rats from each group. (C) </w:t>
      </w:r>
      <w:r>
        <w:rPr>
          <w:rFonts w:ascii="Times New Roman" w:eastAsia="SimSun" w:hAnsi="Times New Roman" w:cs="Times New Roman" w:hint="eastAsia"/>
          <w:szCs w:val="21"/>
          <w:lang w:bidi="ar"/>
        </w:rPr>
        <w:t>TNF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-α and </w:t>
      </w:r>
      <w:r>
        <w:rPr>
          <w:rFonts w:ascii="Times New Roman" w:eastAsia="SimSun" w:hAnsi="Times New Roman" w:cs="Times New Roman" w:hint="eastAsia"/>
          <w:szCs w:val="21"/>
          <w:lang w:bidi="ar"/>
        </w:rPr>
        <w:t>IL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-6 levels in liver tissues from each group. (D–F) HepG2 cells were incubated with 0.5 mM </w:t>
      </w:r>
      <w:r>
        <w:rPr>
          <w:rFonts w:ascii="Times New Roman" w:eastAsia="SimSun" w:hAnsi="Times New Roman" w:cs="Times New Roman" w:hint="eastAsia"/>
          <w:szCs w:val="21"/>
          <w:lang w:bidi="ar"/>
        </w:rPr>
        <w:t>FFA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s for 24 h and subsequently treated with JYXZF-medicated serum or obeticholic acid. (D) Cell viability after treatment with different concentrations of JYXZF-medicated serum. (E) Intracellular </w:t>
      </w:r>
      <w:r>
        <w:rPr>
          <w:rFonts w:ascii="Times New Roman" w:eastAsia="SimSun" w:hAnsi="Times New Roman" w:cs="Times New Roman" w:hint="eastAsia"/>
          <w:szCs w:val="21"/>
          <w:lang w:bidi="ar"/>
        </w:rPr>
        <w:t>TG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 and </w:t>
      </w:r>
      <w:r>
        <w:rPr>
          <w:rFonts w:ascii="Times New Roman" w:eastAsia="SimSun" w:hAnsi="Times New Roman" w:cs="Times New Roman" w:hint="eastAsia"/>
          <w:szCs w:val="21"/>
          <w:lang w:bidi="ar"/>
        </w:rPr>
        <w:t>TC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 levels in HepG2 cells from each group (n = 3). (F) Representative images of Oil Red O staining</w:t>
      </w:r>
      <w:r>
        <w:rPr>
          <w:rFonts w:ascii="Times New Roman" w:eastAsia="SimSun" w:hAnsi="Times New Roman" w:cs="Times New Roman" w:hint="eastAsia"/>
          <w:szCs w:val="21"/>
          <w:lang w:bidi="ar"/>
        </w:rPr>
        <w:t xml:space="preserve">, </w:t>
      </w:r>
      <w:r w:rsidRPr="006E136C">
        <w:rPr>
          <w:rFonts w:ascii="Times New Roman" w:eastAsia="SimSun" w:hAnsi="Times New Roman" w:cs="Times New Roman"/>
          <w:szCs w:val="21"/>
          <w:lang w:bidi="ar"/>
        </w:rPr>
        <w:t>Scale bar = 50 μm.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 (G, H) LX-2 cells were co-cultured with free-fatty-acid-induced HepG2 cells. (G) Schematic diagram of the HepG2/LX-2 co-culture model. (H) Relative messenger RNA levels of ACTA2, COL1A1, COL3A1, TIMP1, TNF, and IL6 in LX-2 cells, as determined by reverse transcription quantitative polymerase chain reaction (n = 3 independent experiments, each performed in triplicate). Data are presented as mean ± SD. ACTA2, actin alpha 2, smooth muscle; AUC, area under the curve; COL1A1, collagen type I alpha 1 chain; COL3A1, collagen type III alpha 1 chain; FFA, free fatty acid; GTT, glucose tolerance test; HepG2, human hepatocellular carcinoma cell line HepG2; IL-6, interleukin-6; ITT, insulin tolerance test; JYXZF, Juanyu Xiaozhi Formula; LX-2, human hepatic stellate cell line LX-2; OCA, obeticholic acid; RT-qPCR, reverse transcription quantitative polymerase chain reaction; SD, standard deviation; TC, total cholesterol; TG, triglyceride; TIMP1, tissue inhibitor of metalloproteinases 1; TNF-α, tumor necrosis factor alpha; TNF, tumor necrosis factor gene.</w:t>
      </w:r>
    </w:p>
    <w:p w14:paraId="6CC723E6" w14:textId="77777777" w:rsidR="00D06736" w:rsidRDefault="00D06736" w:rsidP="00D06736">
      <w:pPr>
        <w:spacing w:line="360" w:lineRule="auto"/>
        <w:rPr>
          <w:rFonts w:ascii="Times New Roman" w:eastAsia="SimSun" w:hAnsi="Times New Roman" w:cs="Times New Roman"/>
          <w:szCs w:val="21"/>
          <w:lang w:bidi="ar"/>
        </w:rPr>
      </w:pPr>
    </w:p>
    <w:p w14:paraId="68A00903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??????????¡§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016"/>
    <w:rsid w:val="004244E6"/>
    <w:rsid w:val="0052488B"/>
    <w:rsid w:val="0067415F"/>
    <w:rsid w:val="00857016"/>
    <w:rsid w:val="00D0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B525B1-D190-4DB4-A2B7-F713EFFF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0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0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0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0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0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0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0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0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0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0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0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0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2026-07-30T02:13:00Z</dcterms:created>
  <dcterms:modified xsi:type="dcterms:W3CDTF">2026-07-30T02:13:00Z</dcterms:modified>
</cp:coreProperties>
</file>