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5491D" w14:textId="77777777" w:rsidR="00E95425" w:rsidRDefault="00E95425" w:rsidP="00E95425">
      <w:pPr>
        <w:spacing w:line="360" w:lineRule="auto"/>
        <w:rPr>
          <w:rFonts w:ascii="Times New Roman" w:eastAsia="SimSun" w:hAnsi="Times New Roman" w:cs="Times New Roman"/>
          <w:b/>
          <w:bCs/>
          <w:szCs w:val="21"/>
          <w:lang w:bidi="ar"/>
        </w:rPr>
      </w:pPr>
      <w:r>
        <w:rPr>
          <w:rFonts w:ascii="Times New Roman" w:eastAsia="SimSun" w:hAnsi="Times New Roman" w:cs="Times New Roman"/>
          <w:b/>
          <w:bCs/>
          <w:szCs w:val="21"/>
          <w:lang w:bidi="ar"/>
        </w:rPr>
        <w:t xml:space="preserve">Supplementary Fig. </w:t>
      </w:r>
      <w:r w:rsidRPr="00492AB4">
        <w:rPr>
          <w:rFonts w:ascii="Times New Roman" w:eastAsia="SimSun" w:hAnsi="Times New Roman" w:cs="Times New Roman"/>
          <w:b/>
          <w:bCs/>
          <w:szCs w:val="21"/>
          <w:lang w:bidi="ar"/>
        </w:rPr>
        <w:t>1</w:t>
      </w:r>
    </w:p>
    <w:p w14:paraId="61E2A47E" w14:textId="77777777" w:rsidR="00E95425" w:rsidRDefault="00E95425" w:rsidP="00E95425">
      <w:pPr>
        <w:spacing w:line="360" w:lineRule="auto"/>
        <w:rPr>
          <w:rFonts w:ascii="Times New Roman" w:eastAsia="SimSun" w:hAnsi="Times New Roman" w:cs="Times New Roman"/>
          <w:b/>
          <w:bCs/>
          <w:szCs w:val="21"/>
          <w:lang w:bidi="ar"/>
        </w:rPr>
      </w:pPr>
      <w:r>
        <w:rPr>
          <w:rFonts w:ascii="Times New Roman" w:eastAsia="SimSun" w:hAnsi="Times New Roman" w:cs="Times New Roman"/>
          <w:b/>
          <w:bCs/>
          <w:noProof/>
          <w:szCs w:val="21"/>
          <w:lang w:bidi="ar"/>
        </w:rPr>
        <w:drawing>
          <wp:inline distT="0" distB="0" distL="0" distR="0" wp14:anchorId="35882ACD" wp14:editId="43DEDD61">
            <wp:extent cx="4651283" cy="5117488"/>
            <wp:effectExtent l="0" t="0" r="0" b="6985"/>
            <wp:docPr id="16684237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423784" name="图片 166842378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942" cy="513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D5023" w14:textId="77777777" w:rsidR="00E95425" w:rsidRDefault="00E95425" w:rsidP="00E95425">
      <w:pPr>
        <w:spacing w:line="360" w:lineRule="auto"/>
        <w:rPr>
          <w:rFonts w:ascii="Times New Roman" w:eastAsia="SimSun" w:hAnsi="Times New Roman" w:cs="Times New Roman"/>
          <w:szCs w:val="21"/>
          <w:lang w:bidi="ar"/>
        </w:rPr>
      </w:pPr>
      <w:r>
        <w:rPr>
          <w:rFonts w:ascii="Times New Roman" w:eastAsia="SimSun" w:hAnsi="Times New Roman" w:cs="Times New Roman"/>
          <w:b/>
          <w:bCs/>
          <w:szCs w:val="21"/>
          <w:lang w:bidi="ar"/>
        </w:rPr>
        <w:t xml:space="preserve">Supplementary Fig. </w:t>
      </w:r>
      <w:r w:rsidRPr="00492AB4">
        <w:rPr>
          <w:rFonts w:ascii="Times New Roman" w:eastAsia="SimSun" w:hAnsi="Times New Roman" w:cs="Times New Roman"/>
          <w:b/>
          <w:bCs/>
          <w:szCs w:val="21"/>
          <w:lang w:bidi="ar"/>
        </w:rPr>
        <w:t>1. UPLC-MS/MS characterization of JYXZF prototypes and circulating constituents.</w:t>
      </w:r>
      <w:r>
        <w:rPr>
          <w:rFonts w:ascii="Times New Roman" w:eastAsia="SimSun" w:hAnsi="Times New Roman" w:cs="Times New Roman" w:hint="eastAsia"/>
          <w:b/>
          <w:bCs/>
          <w:szCs w:val="21"/>
          <w:lang w:bidi="ar"/>
        </w:rPr>
        <w:t xml:space="preserve"> </w:t>
      </w:r>
      <w:r w:rsidRPr="00492AB4">
        <w:rPr>
          <w:rFonts w:ascii="Times New Roman" w:eastAsia="SimSun" w:hAnsi="Times New Roman" w:cs="Times New Roman"/>
          <w:szCs w:val="21"/>
          <w:lang w:bidi="ar"/>
        </w:rPr>
        <w:t>(A) Workflow for the preparation and analysis of JYXZF decoction (JYXZF), JYXZF decoction mixed with untreated blank serum (JYXZF + CON), untreated blank serum (CON), and serum from JYXZF-treated rats. (B) Base peak chromatograms acquired in positive- and negative-ion modes for JYXZF, JYXZF + CON, CON, and JYXZF-treated rat serum. (C) Structural classification of the identified circulating JYXZF-derived compounds. BPC, base peak chromatogram; CON, control; JYXZF, Juanyu Xiaozhi Formula; UPLC-MS/MS, ultra-high-performance liquid chromatography–tandem mass spectrometry.</w:t>
      </w:r>
    </w:p>
    <w:p w14:paraId="6A2CDD04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???????????¡§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088"/>
    <w:rsid w:val="00275088"/>
    <w:rsid w:val="004244E6"/>
    <w:rsid w:val="0052488B"/>
    <w:rsid w:val="0067415F"/>
    <w:rsid w:val="00E9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95626E-EFE1-4F6B-9CA1-C154435C5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5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0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0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0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0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0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0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0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0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0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0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0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50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0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50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0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0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0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2026-07-30T02:13:00Z</dcterms:created>
  <dcterms:modified xsi:type="dcterms:W3CDTF">2026-07-30T02:13:00Z</dcterms:modified>
</cp:coreProperties>
</file>