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BF" w:rsidRPr="00F86280" w:rsidRDefault="003412BF" w:rsidP="003412BF">
      <w:pPr>
        <w:adjustRightInd w:val="0"/>
        <w:snapToGri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eastAsia="宋体" w:hAnsi="Arial" w:cs="Arial"/>
          <w:b/>
          <w:bCs/>
        </w:rPr>
        <w:t>Supplementary Table</w:t>
      </w:r>
      <w:r w:rsidRPr="00F86280">
        <w:rPr>
          <w:rFonts w:ascii="Arial" w:eastAsia="宋体" w:hAnsi="Arial" w:cs="Arial"/>
          <w:b/>
          <w:bCs/>
        </w:rPr>
        <w:t xml:space="preserve"> </w:t>
      </w:r>
      <w:r w:rsidRPr="00247C69">
        <w:rPr>
          <w:rFonts w:ascii="Arial" w:hAnsi="Arial" w:cs="Arial"/>
          <w:b/>
          <w:bCs/>
        </w:rPr>
        <w:t>13. Spearman</w:t>
      </w:r>
      <w:r w:rsidRPr="00F86280">
        <w:rPr>
          <w:rFonts w:ascii="Arial" w:hAnsi="Arial" w:cs="Arial"/>
          <w:b/>
          <w:bCs/>
        </w:rPr>
        <w:t xml:space="preserve"> relationship between serum HBsAg and clinical index for liver injury for HBeAg-positive patients with different HBV DNA levels in cohort A and independent validation Nanjing cohort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2974"/>
        <w:gridCol w:w="2149"/>
        <w:gridCol w:w="2190"/>
      </w:tblGrid>
      <w:tr w:rsidR="003412BF" w:rsidRPr="00F86280" w:rsidTr="0083464F">
        <w:trPr>
          <w:jc w:val="center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12BF" w:rsidRPr="00F86280" w:rsidRDefault="003412BF" w:rsidP="0083464F">
            <w:pPr>
              <w:rPr>
                <w:rFonts w:ascii="Arial" w:hAnsi="Arial" w:cs="Arial"/>
                <w:sz w:val="16"/>
                <w:szCs w:val="18"/>
              </w:rPr>
            </w:pPr>
            <w:bookmarkStart w:id="0" w:name="_Hlk139233614"/>
            <w:r w:rsidRPr="00F86280">
              <w:rPr>
                <w:rFonts w:ascii="Arial" w:hAnsi="Arial" w:cs="Arial"/>
                <w:sz w:val="18"/>
              </w:rPr>
              <w:t>Spearman Rho (</w:t>
            </w:r>
            <w:r w:rsidRPr="00F86280">
              <w:rPr>
                <w:rFonts w:ascii="Arial" w:hAnsi="Arial" w:cs="Arial"/>
                <w:i/>
                <w:iCs/>
                <w:sz w:val="18"/>
              </w:rPr>
              <w:t xml:space="preserve">P </w:t>
            </w:r>
            <w:r w:rsidRPr="00F86280">
              <w:rPr>
                <w:rFonts w:ascii="Arial" w:hAnsi="Arial" w:cs="Arial"/>
                <w:sz w:val="18"/>
              </w:rPr>
              <w:t>value) between Serum HBsAg and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2BF" w:rsidRPr="00F86280" w:rsidRDefault="003412BF" w:rsidP="0083464F">
            <w:pPr>
              <w:jc w:val="center"/>
              <w:rPr>
                <w:rFonts w:ascii="Arial" w:hAnsi="Arial" w:cs="Arial"/>
                <w:sz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DNA&gt;2×10</w:t>
            </w:r>
            <w:r w:rsidRPr="00F86280">
              <w:rPr>
                <w:rFonts w:ascii="Arial" w:hAnsi="Arial" w:cs="Arial"/>
                <w:sz w:val="16"/>
                <w:szCs w:val="18"/>
                <w:vertAlign w:val="superscript"/>
              </w:rPr>
              <w:t>6</w:t>
            </w:r>
            <w:r w:rsidRPr="00F86280">
              <w:rPr>
                <w:rFonts w:ascii="Arial" w:hAnsi="Arial" w:cs="Arial"/>
                <w:sz w:val="16"/>
                <w:szCs w:val="18"/>
              </w:rPr>
              <w:t xml:space="preserve"> IU/mL subgroup</w:t>
            </w:r>
            <w:r w:rsidRPr="00F86280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2BF" w:rsidRPr="00F86280" w:rsidRDefault="003412BF" w:rsidP="0083464F">
            <w:pPr>
              <w:jc w:val="center"/>
              <w:rPr>
                <w:rFonts w:ascii="Arial" w:hAnsi="Arial" w:cs="Arial"/>
                <w:sz w:val="18"/>
              </w:rPr>
            </w:pPr>
            <w:r w:rsidRPr="00F86280">
              <w:rPr>
                <w:rFonts w:ascii="Arial" w:hAnsi="Arial" w:cs="Arial"/>
                <w:sz w:val="16"/>
                <w:szCs w:val="18"/>
              </w:rPr>
              <w:t>DNA</w:t>
            </w:r>
            <w:r w:rsidRPr="00F86280">
              <w:rPr>
                <w:rFonts w:ascii="Arial" w:hAnsi="Arial" w:cs="Arial"/>
                <w:szCs w:val="21"/>
              </w:rPr>
              <w:t>≤</w:t>
            </w:r>
            <w:r w:rsidRPr="00F86280">
              <w:rPr>
                <w:rFonts w:ascii="Arial" w:hAnsi="Arial" w:cs="Arial"/>
                <w:sz w:val="16"/>
                <w:szCs w:val="18"/>
              </w:rPr>
              <w:t>2×10</w:t>
            </w:r>
            <w:r w:rsidRPr="00F86280">
              <w:rPr>
                <w:rFonts w:ascii="Arial" w:hAnsi="Arial" w:cs="Arial"/>
                <w:sz w:val="16"/>
                <w:szCs w:val="18"/>
                <w:vertAlign w:val="superscript"/>
              </w:rPr>
              <w:t>6</w:t>
            </w:r>
            <w:r w:rsidRPr="00F86280">
              <w:rPr>
                <w:rFonts w:ascii="Arial" w:hAnsi="Arial" w:cs="Arial"/>
                <w:sz w:val="16"/>
                <w:szCs w:val="18"/>
              </w:rPr>
              <w:t xml:space="preserve"> IU/mL subgroup</w:t>
            </w:r>
            <w:r w:rsidRPr="00F86280">
              <w:rPr>
                <w:rFonts w:ascii="Arial" w:hAnsi="Arial" w:cs="Arial"/>
                <w:sz w:val="18"/>
              </w:rPr>
              <w:t xml:space="preserve"> </w:t>
            </w:r>
          </w:p>
        </w:tc>
      </w:tr>
      <w:bookmarkEnd w:id="0"/>
      <w:tr w:rsidR="003412BF" w:rsidRPr="00F86280" w:rsidTr="0083464F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3412BF" w:rsidRPr="00F86280" w:rsidRDefault="003412BF" w:rsidP="0083464F">
            <w:pPr>
              <w:rPr>
                <w:rFonts w:ascii="Arial" w:hAnsi="Arial" w:cs="Arial"/>
                <w:sz w:val="18"/>
              </w:rPr>
            </w:pPr>
            <w:r w:rsidRPr="00F86280">
              <w:rPr>
                <w:rFonts w:ascii="Arial" w:hAnsi="Arial" w:cs="Arial"/>
                <w:sz w:val="18"/>
              </w:rPr>
              <w:t>Cohort A</w:t>
            </w:r>
          </w:p>
        </w:tc>
        <w:tc>
          <w:tcPr>
            <w:tcW w:w="2974" w:type="dxa"/>
            <w:tcBorders>
              <w:top w:val="single" w:sz="4" w:space="0" w:color="auto"/>
              <w:bottom w:val="nil"/>
            </w:tcBorders>
          </w:tcPr>
          <w:p w:rsidR="003412BF" w:rsidRPr="00F86280" w:rsidRDefault="003412BF" w:rsidP="0083464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nil"/>
            </w:tcBorders>
            <w:vAlign w:val="center"/>
          </w:tcPr>
          <w:p w:rsidR="003412BF" w:rsidRPr="00F86280" w:rsidRDefault="003412BF" w:rsidP="0083464F">
            <w:pPr>
              <w:jc w:val="center"/>
              <w:rPr>
                <w:rFonts w:ascii="Arial" w:hAnsi="Arial" w:cs="Arial"/>
                <w:sz w:val="18"/>
              </w:rPr>
            </w:pPr>
            <w:r w:rsidRPr="00F86280">
              <w:rPr>
                <w:rFonts w:ascii="Arial" w:hAnsi="Arial" w:cs="Arial"/>
                <w:sz w:val="18"/>
              </w:rPr>
              <w:t>（</w:t>
            </w:r>
            <w:r w:rsidRPr="00F86280">
              <w:rPr>
                <w:rFonts w:ascii="Arial" w:hAnsi="Arial" w:cs="Arial"/>
                <w:sz w:val="18"/>
              </w:rPr>
              <w:t>n=286</w:t>
            </w:r>
            <w:r w:rsidRPr="00F86280">
              <w:rPr>
                <w:rFonts w:ascii="Arial" w:hAnsi="Arial" w:cs="Arial"/>
                <w:sz w:val="18"/>
              </w:rPr>
              <w:t>）</w:t>
            </w:r>
          </w:p>
        </w:tc>
        <w:tc>
          <w:tcPr>
            <w:tcW w:w="2190" w:type="dxa"/>
            <w:tcBorders>
              <w:top w:val="single" w:sz="4" w:space="0" w:color="auto"/>
              <w:bottom w:val="nil"/>
            </w:tcBorders>
            <w:vAlign w:val="center"/>
          </w:tcPr>
          <w:p w:rsidR="003412BF" w:rsidRPr="00F86280" w:rsidRDefault="003412BF" w:rsidP="0083464F">
            <w:pPr>
              <w:jc w:val="center"/>
              <w:rPr>
                <w:rFonts w:ascii="Arial" w:hAnsi="Arial" w:cs="Arial"/>
                <w:sz w:val="18"/>
              </w:rPr>
            </w:pPr>
            <w:r w:rsidRPr="00F86280">
              <w:rPr>
                <w:rFonts w:ascii="Arial" w:hAnsi="Arial" w:cs="Arial"/>
                <w:sz w:val="18"/>
              </w:rPr>
              <w:t>(n=43)</w:t>
            </w:r>
          </w:p>
        </w:tc>
      </w:tr>
      <w:tr w:rsidR="003412BF" w:rsidRPr="00F86280" w:rsidTr="0083464F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</w:tcPr>
          <w:p w:rsidR="003412BF" w:rsidRPr="00F86280" w:rsidRDefault="003412BF" w:rsidP="0083464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3412BF" w:rsidRPr="00F86280" w:rsidRDefault="003412BF" w:rsidP="0083464F">
            <w:pPr>
              <w:jc w:val="center"/>
              <w:rPr>
                <w:rFonts w:ascii="Arial" w:hAnsi="Arial" w:cs="Arial"/>
                <w:sz w:val="18"/>
              </w:rPr>
            </w:pPr>
            <w:r w:rsidRPr="00F86280">
              <w:rPr>
                <w:rFonts w:ascii="Arial" w:hAnsi="Arial" w:cs="Arial"/>
                <w:sz w:val="18"/>
              </w:rPr>
              <w:t>ALT</w:t>
            </w:r>
          </w:p>
        </w:tc>
        <w:tc>
          <w:tcPr>
            <w:tcW w:w="2149" w:type="dxa"/>
            <w:tcBorders>
              <w:top w:val="nil"/>
              <w:bottom w:val="nil"/>
            </w:tcBorders>
            <w:vAlign w:val="center"/>
          </w:tcPr>
          <w:p w:rsidR="003412BF" w:rsidRPr="00F86280" w:rsidRDefault="003412BF" w:rsidP="0083464F">
            <w:pPr>
              <w:jc w:val="center"/>
              <w:rPr>
                <w:rFonts w:ascii="Arial" w:hAnsi="Arial" w:cs="Arial"/>
                <w:sz w:val="18"/>
              </w:rPr>
            </w:pPr>
            <w:r w:rsidRPr="00F86280">
              <w:rPr>
                <w:rFonts w:ascii="Arial" w:hAnsi="Arial" w:cs="Arial"/>
                <w:sz w:val="18"/>
              </w:rPr>
              <w:t>-0.325(0.000)</w:t>
            </w:r>
          </w:p>
        </w:tc>
        <w:tc>
          <w:tcPr>
            <w:tcW w:w="2190" w:type="dxa"/>
            <w:tcBorders>
              <w:top w:val="nil"/>
              <w:bottom w:val="nil"/>
            </w:tcBorders>
            <w:vAlign w:val="center"/>
          </w:tcPr>
          <w:p w:rsidR="003412BF" w:rsidRPr="00F86280" w:rsidRDefault="003412BF" w:rsidP="0083464F">
            <w:pPr>
              <w:jc w:val="center"/>
              <w:rPr>
                <w:rFonts w:ascii="Arial" w:hAnsi="Arial" w:cs="Arial"/>
                <w:sz w:val="18"/>
              </w:rPr>
            </w:pPr>
            <w:r w:rsidRPr="00F86280">
              <w:rPr>
                <w:rFonts w:ascii="Arial" w:hAnsi="Arial" w:cs="Arial"/>
                <w:sz w:val="18"/>
              </w:rPr>
              <w:t>-0.248(0.109)</w:t>
            </w:r>
          </w:p>
        </w:tc>
      </w:tr>
      <w:tr w:rsidR="003412BF" w:rsidRPr="00F86280" w:rsidTr="0083464F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</w:tcPr>
          <w:p w:rsidR="003412BF" w:rsidRPr="00F86280" w:rsidRDefault="003412BF" w:rsidP="0083464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3412BF" w:rsidRPr="00F86280" w:rsidRDefault="003412BF" w:rsidP="0083464F">
            <w:pPr>
              <w:jc w:val="center"/>
              <w:rPr>
                <w:rFonts w:ascii="Arial" w:hAnsi="Arial" w:cs="Arial"/>
                <w:sz w:val="18"/>
              </w:rPr>
            </w:pPr>
            <w:r w:rsidRPr="00F86280">
              <w:rPr>
                <w:rFonts w:ascii="Arial" w:hAnsi="Arial" w:cs="Arial"/>
                <w:sz w:val="18"/>
              </w:rPr>
              <w:t>AST</w:t>
            </w:r>
          </w:p>
        </w:tc>
        <w:tc>
          <w:tcPr>
            <w:tcW w:w="2149" w:type="dxa"/>
            <w:tcBorders>
              <w:top w:val="nil"/>
              <w:bottom w:val="nil"/>
            </w:tcBorders>
            <w:vAlign w:val="center"/>
          </w:tcPr>
          <w:p w:rsidR="003412BF" w:rsidRPr="00F86280" w:rsidRDefault="003412BF" w:rsidP="0083464F">
            <w:pPr>
              <w:jc w:val="center"/>
              <w:rPr>
                <w:rFonts w:ascii="Arial" w:hAnsi="Arial" w:cs="Arial"/>
                <w:sz w:val="18"/>
              </w:rPr>
            </w:pPr>
            <w:r w:rsidRPr="00F86280">
              <w:rPr>
                <w:rFonts w:ascii="Arial" w:hAnsi="Arial" w:cs="Arial"/>
                <w:sz w:val="18"/>
              </w:rPr>
              <w:t>-0.402(0.000)</w:t>
            </w:r>
          </w:p>
        </w:tc>
        <w:tc>
          <w:tcPr>
            <w:tcW w:w="2190" w:type="dxa"/>
            <w:tcBorders>
              <w:top w:val="nil"/>
              <w:bottom w:val="nil"/>
            </w:tcBorders>
            <w:vAlign w:val="center"/>
          </w:tcPr>
          <w:p w:rsidR="003412BF" w:rsidRPr="00F86280" w:rsidRDefault="003412BF" w:rsidP="0083464F">
            <w:pPr>
              <w:jc w:val="center"/>
              <w:rPr>
                <w:rFonts w:ascii="Arial" w:hAnsi="Arial" w:cs="Arial"/>
                <w:sz w:val="18"/>
              </w:rPr>
            </w:pPr>
            <w:r w:rsidRPr="00F86280">
              <w:rPr>
                <w:rFonts w:ascii="Arial" w:hAnsi="Arial" w:cs="Arial"/>
                <w:sz w:val="18"/>
              </w:rPr>
              <w:t>-0.231(0.135)</w:t>
            </w:r>
          </w:p>
        </w:tc>
      </w:tr>
      <w:tr w:rsidR="003412BF" w:rsidRPr="00F86280" w:rsidTr="0083464F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</w:tcPr>
          <w:p w:rsidR="003412BF" w:rsidRPr="00F86280" w:rsidRDefault="003412BF" w:rsidP="0083464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3412BF" w:rsidRPr="00F86280" w:rsidRDefault="003412BF" w:rsidP="0083464F">
            <w:pPr>
              <w:jc w:val="center"/>
              <w:rPr>
                <w:rFonts w:ascii="Arial" w:hAnsi="Arial" w:cs="Arial"/>
                <w:sz w:val="18"/>
              </w:rPr>
            </w:pPr>
            <w:r w:rsidRPr="00F86280">
              <w:rPr>
                <w:rFonts w:ascii="Arial" w:hAnsi="Arial" w:cs="Arial"/>
                <w:sz w:val="18"/>
              </w:rPr>
              <w:t>GGT</w:t>
            </w:r>
          </w:p>
        </w:tc>
        <w:tc>
          <w:tcPr>
            <w:tcW w:w="2149" w:type="dxa"/>
            <w:tcBorders>
              <w:top w:val="nil"/>
              <w:bottom w:val="nil"/>
            </w:tcBorders>
            <w:vAlign w:val="center"/>
          </w:tcPr>
          <w:p w:rsidR="003412BF" w:rsidRPr="00F86280" w:rsidRDefault="003412BF" w:rsidP="0083464F">
            <w:pPr>
              <w:jc w:val="center"/>
              <w:rPr>
                <w:rFonts w:ascii="Arial" w:hAnsi="Arial" w:cs="Arial"/>
                <w:sz w:val="18"/>
              </w:rPr>
            </w:pPr>
            <w:r w:rsidRPr="00F86280">
              <w:rPr>
                <w:rFonts w:ascii="Arial" w:hAnsi="Arial" w:cs="Arial"/>
                <w:sz w:val="18"/>
              </w:rPr>
              <w:t>-0.278(0.000)</w:t>
            </w:r>
          </w:p>
        </w:tc>
        <w:tc>
          <w:tcPr>
            <w:tcW w:w="2190" w:type="dxa"/>
            <w:tcBorders>
              <w:top w:val="nil"/>
              <w:bottom w:val="nil"/>
            </w:tcBorders>
            <w:vAlign w:val="center"/>
          </w:tcPr>
          <w:p w:rsidR="003412BF" w:rsidRPr="00F86280" w:rsidRDefault="003412BF" w:rsidP="0083464F">
            <w:pPr>
              <w:jc w:val="center"/>
              <w:rPr>
                <w:rFonts w:ascii="Arial" w:hAnsi="Arial" w:cs="Arial"/>
                <w:sz w:val="18"/>
              </w:rPr>
            </w:pPr>
            <w:r w:rsidRPr="00F86280">
              <w:rPr>
                <w:rFonts w:ascii="Arial" w:hAnsi="Arial" w:cs="Arial"/>
                <w:sz w:val="18"/>
              </w:rPr>
              <w:t>-0.075(0.635)</w:t>
            </w:r>
          </w:p>
        </w:tc>
      </w:tr>
      <w:tr w:rsidR="003412BF" w:rsidRPr="00F86280" w:rsidTr="0083464F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</w:tcPr>
          <w:p w:rsidR="003412BF" w:rsidRPr="00F86280" w:rsidRDefault="003412BF" w:rsidP="0083464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4" w:type="dxa"/>
            <w:tcBorders>
              <w:top w:val="nil"/>
              <w:bottom w:val="nil"/>
            </w:tcBorders>
          </w:tcPr>
          <w:p w:rsidR="003412BF" w:rsidRPr="00F86280" w:rsidRDefault="003412BF" w:rsidP="0083464F">
            <w:pPr>
              <w:jc w:val="center"/>
              <w:rPr>
                <w:rFonts w:ascii="Arial" w:hAnsi="Arial" w:cs="Arial"/>
                <w:sz w:val="18"/>
              </w:rPr>
            </w:pPr>
            <w:r w:rsidRPr="00F86280">
              <w:rPr>
                <w:rFonts w:ascii="Arial" w:hAnsi="Arial" w:cs="Arial"/>
                <w:color w:val="000000" w:themeColor="text1"/>
                <w:sz w:val="18"/>
              </w:rPr>
              <w:t>Liver necroinflammatory grade*</w:t>
            </w:r>
          </w:p>
        </w:tc>
        <w:tc>
          <w:tcPr>
            <w:tcW w:w="2149" w:type="dxa"/>
            <w:tcBorders>
              <w:top w:val="nil"/>
              <w:bottom w:val="nil"/>
            </w:tcBorders>
            <w:vAlign w:val="center"/>
          </w:tcPr>
          <w:p w:rsidR="003412BF" w:rsidRPr="00F86280" w:rsidRDefault="003412BF" w:rsidP="0083464F">
            <w:pPr>
              <w:jc w:val="center"/>
              <w:rPr>
                <w:rFonts w:ascii="Arial" w:hAnsi="Arial" w:cs="Arial"/>
                <w:sz w:val="18"/>
              </w:rPr>
            </w:pPr>
            <w:r w:rsidRPr="00F86280">
              <w:rPr>
                <w:rFonts w:ascii="Arial" w:hAnsi="Arial" w:cs="Arial"/>
                <w:sz w:val="18"/>
              </w:rPr>
              <w:t>-0.403(0.000)</w:t>
            </w:r>
          </w:p>
        </w:tc>
        <w:tc>
          <w:tcPr>
            <w:tcW w:w="2190" w:type="dxa"/>
            <w:tcBorders>
              <w:top w:val="nil"/>
              <w:bottom w:val="nil"/>
            </w:tcBorders>
            <w:vAlign w:val="center"/>
          </w:tcPr>
          <w:p w:rsidR="003412BF" w:rsidRPr="00F86280" w:rsidRDefault="003412BF" w:rsidP="0083464F">
            <w:pPr>
              <w:jc w:val="center"/>
              <w:rPr>
                <w:rFonts w:ascii="Arial" w:hAnsi="Arial" w:cs="Arial"/>
                <w:sz w:val="18"/>
              </w:rPr>
            </w:pPr>
            <w:r w:rsidRPr="00F86280">
              <w:rPr>
                <w:rFonts w:ascii="Arial" w:hAnsi="Arial" w:cs="Arial"/>
                <w:sz w:val="18"/>
              </w:rPr>
              <w:t>-0.011(0.942)</w:t>
            </w:r>
          </w:p>
        </w:tc>
      </w:tr>
      <w:tr w:rsidR="003412BF" w:rsidRPr="00F86280" w:rsidTr="0083464F">
        <w:trPr>
          <w:jc w:val="center"/>
        </w:trPr>
        <w:tc>
          <w:tcPr>
            <w:tcW w:w="3967" w:type="dxa"/>
            <w:gridSpan w:val="2"/>
            <w:tcBorders>
              <w:top w:val="nil"/>
            </w:tcBorders>
          </w:tcPr>
          <w:p w:rsidR="003412BF" w:rsidRPr="00F86280" w:rsidRDefault="003412BF" w:rsidP="0083464F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F86280">
              <w:rPr>
                <w:rFonts w:ascii="Arial" w:hAnsi="Arial" w:cs="Arial"/>
                <w:color w:val="000000" w:themeColor="text1"/>
                <w:sz w:val="18"/>
              </w:rPr>
              <w:t>Independent validation Nanjing Cohort</w:t>
            </w:r>
          </w:p>
        </w:tc>
        <w:tc>
          <w:tcPr>
            <w:tcW w:w="2149" w:type="dxa"/>
            <w:tcBorders>
              <w:top w:val="nil"/>
            </w:tcBorders>
            <w:vAlign w:val="center"/>
          </w:tcPr>
          <w:p w:rsidR="003412BF" w:rsidRPr="00F86280" w:rsidRDefault="003412BF" w:rsidP="0083464F">
            <w:pPr>
              <w:jc w:val="center"/>
              <w:rPr>
                <w:rFonts w:ascii="Arial" w:hAnsi="Arial" w:cs="Arial"/>
                <w:sz w:val="18"/>
              </w:rPr>
            </w:pPr>
            <w:r w:rsidRPr="00F86280">
              <w:rPr>
                <w:rFonts w:ascii="Arial" w:hAnsi="Arial" w:cs="Arial"/>
                <w:sz w:val="18"/>
              </w:rPr>
              <w:t>(n=2041)</w:t>
            </w:r>
          </w:p>
        </w:tc>
        <w:tc>
          <w:tcPr>
            <w:tcW w:w="2190" w:type="dxa"/>
            <w:tcBorders>
              <w:top w:val="nil"/>
            </w:tcBorders>
          </w:tcPr>
          <w:p w:rsidR="003412BF" w:rsidRPr="00F86280" w:rsidRDefault="003412BF" w:rsidP="0083464F">
            <w:pPr>
              <w:jc w:val="center"/>
              <w:rPr>
                <w:rFonts w:ascii="Arial" w:hAnsi="Arial" w:cs="Arial"/>
                <w:sz w:val="18"/>
              </w:rPr>
            </w:pPr>
            <w:r w:rsidRPr="00F86280">
              <w:rPr>
                <w:rFonts w:ascii="Arial" w:hAnsi="Arial" w:cs="Arial"/>
                <w:sz w:val="18"/>
              </w:rPr>
              <w:t>(n=583)</w:t>
            </w:r>
          </w:p>
        </w:tc>
      </w:tr>
      <w:tr w:rsidR="003412BF" w:rsidRPr="00F86280" w:rsidTr="0083464F">
        <w:trPr>
          <w:jc w:val="center"/>
        </w:trPr>
        <w:tc>
          <w:tcPr>
            <w:tcW w:w="993" w:type="dxa"/>
          </w:tcPr>
          <w:p w:rsidR="003412BF" w:rsidRPr="00F86280" w:rsidRDefault="003412BF" w:rsidP="0083464F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974" w:type="dxa"/>
          </w:tcPr>
          <w:p w:rsidR="003412BF" w:rsidRPr="00F86280" w:rsidRDefault="003412BF" w:rsidP="0083464F">
            <w:pPr>
              <w:jc w:val="center"/>
              <w:rPr>
                <w:rFonts w:ascii="Arial" w:hAnsi="Arial" w:cs="Arial"/>
                <w:sz w:val="18"/>
              </w:rPr>
            </w:pPr>
            <w:r w:rsidRPr="00F86280">
              <w:rPr>
                <w:rFonts w:ascii="Arial" w:hAnsi="Arial" w:cs="Arial"/>
                <w:color w:val="000000" w:themeColor="text1"/>
                <w:sz w:val="18"/>
              </w:rPr>
              <w:t>ALT</w:t>
            </w:r>
          </w:p>
        </w:tc>
        <w:tc>
          <w:tcPr>
            <w:tcW w:w="2149" w:type="dxa"/>
            <w:vAlign w:val="center"/>
          </w:tcPr>
          <w:p w:rsidR="003412BF" w:rsidRPr="00F86280" w:rsidRDefault="003412BF" w:rsidP="0083464F">
            <w:pPr>
              <w:jc w:val="center"/>
              <w:rPr>
                <w:rFonts w:ascii="Arial" w:hAnsi="Arial" w:cs="Arial"/>
                <w:sz w:val="18"/>
              </w:rPr>
            </w:pPr>
            <w:r w:rsidRPr="00F86280">
              <w:rPr>
                <w:rFonts w:ascii="Arial" w:hAnsi="Arial" w:cs="Arial"/>
                <w:sz w:val="18"/>
              </w:rPr>
              <w:t>-0.379 (&lt;0.001)</w:t>
            </w:r>
          </w:p>
        </w:tc>
        <w:tc>
          <w:tcPr>
            <w:tcW w:w="2190" w:type="dxa"/>
          </w:tcPr>
          <w:p w:rsidR="003412BF" w:rsidRPr="00F86280" w:rsidRDefault="003412BF" w:rsidP="0083464F">
            <w:pPr>
              <w:jc w:val="center"/>
              <w:rPr>
                <w:rFonts w:ascii="Arial" w:hAnsi="Arial" w:cs="Arial"/>
                <w:sz w:val="18"/>
              </w:rPr>
            </w:pPr>
            <w:r w:rsidRPr="00F86280">
              <w:rPr>
                <w:rFonts w:ascii="Arial" w:hAnsi="Arial" w:cs="Arial"/>
                <w:sz w:val="18"/>
              </w:rPr>
              <w:t>-0.094 (0.042)</w:t>
            </w:r>
          </w:p>
        </w:tc>
      </w:tr>
      <w:tr w:rsidR="003412BF" w:rsidRPr="00F86280" w:rsidTr="0083464F">
        <w:trPr>
          <w:jc w:val="center"/>
        </w:trPr>
        <w:tc>
          <w:tcPr>
            <w:tcW w:w="993" w:type="dxa"/>
          </w:tcPr>
          <w:p w:rsidR="003412BF" w:rsidRPr="00F86280" w:rsidRDefault="003412BF" w:rsidP="0083464F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974" w:type="dxa"/>
          </w:tcPr>
          <w:p w:rsidR="003412BF" w:rsidRPr="00F86280" w:rsidRDefault="003412BF" w:rsidP="0083464F">
            <w:pPr>
              <w:jc w:val="center"/>
              <w:rPr>
                <w:rFonts w:ascii="Arial" w:hAnsi="Arial" w:cs="Arial"/>
                <w:sz w:val="18"/>
              </w:rPr>
            </w:pPr>
            <w:r w:rsidRPr="00F86280">
              <w:rPr>
                <w:rFonts w:ascii="Arial" w:hAnsi="Arial" w:cs="Arial"/>
                <w:color w:val="000000" w:themeColor="text1"/>
                <w:sz w:val="18"/>
              </w:rPr>
              <w:t>AST</w:t>
            </w:r>
          </w:p>
        </w:tc>
        <w:tc>
          <w:tcPr>
            <w:tcW w:w="2149" w:type="dxa"/>
            <w:vAlign w:val="center"/>
          </w:tcPr>
          <w:p w:rsidR="003412BF" w:rsidRPr="00F86280" w:rsidRDefault="003412BF" w:rsidP="0083464F">
            <w:pPr>
              <w:jc w:val="center"/>
              <w:rPr>
                <w:rFonts w:ascii="Arial" w:hAnsi="Arial" w:cs="Arial"/>
                <w:sz w:val="18"/>
              </w:rPr>
            </w:pPr>
            <w:r w:rsidRPr="00F86280">
              <w:rPr>
                <w:rFonts w:ascii="Arial" w:hAnsi="Arial" w:cs="Arial"/>
                <w:sz w:val="18"/>
              </w:rPr>
              <w:t>-0.436 (&lt;0.001)</w:t>
            </w:r>
          </w:p>
        </w:tc>
        <w:tc>
          <w:tcPr>
            <w:tcW w:w="2190" w:type="dxa"/>
          </w:tcPr>
          <w:p w:rsidR="003412BF" w:rsidRPr="00F86280" w:rsidRDefault="003412BF" w:rsidP="0083464F">
            <w:pPr>
              <w:jc w:val="center"/>
              <w:rPr>
                <w:rFonts w:ascii="Arial" w:hAnsi="Arial" w:cs="Arial"/>
                <w:sz w:val="18"/>
              </w:rPr>
            </w:pPr>
            <w:r w:rsidRPr="00F86280">
              <w:rPr>
                <w:rFonts w:ascii="Arial" w:hAnsi="Arial" w:cs="Arial"/>
                <w:sz w:val="18"/>
              </w:rPr>
              <w:t>-0.135 (0.003)</w:t>
            </w:r>
          </w:p>
        </w:tc>
      </w:tr>
      <w:tr w:rsidR="003412BF" w:rsidRPr="00F86280" w:rsidTr="0083464F">
        <w:trPr>
          <w:jc w:val="center"/>
        </w:trPr>
        <w:tc>
          <w:tcPr>
            <w:tcW w:w="993" w:type="dxa"/>
          </w:tcPr>
          <w:p w:rsidR="003412BF" w:rsidRPr="00F86280" w:rsidRDefault="003412BF" w:rsidP="0083464F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974" w:type="dxa"/>
          </w:tcPr>
          <w:p w:rsidR="003412BF" w:rsidRPr="00F86280" w:rsidRDefault="003412BF" w:rsidP="0083464F">
            <w:pPr>
              <w:jc w:val="center"/>
              <w:rPr>
                <w:rFonts w:ascii="Arial" w:hAnsi="Arial" w:cs="Arial"/>
                <w:sz w:val="18"/>
              </w:rPr>
            </w:pPr>
            <w:r w:rsidRPr="00F86280">
              <w:rPr>
                <w:rFonts w:ascii="Arial" w:hAnsi="Arial" w:cs="Arial"/>
                <w:color w:val="000000" w:themeColor="text1"/>
                <w:sz w:val="18"/>
              </w:rPr>
              <w:t>GGT</w:t>
            </w:r>
          </w:p>
        </w:tc>
        <w:tc>
          <w:tcPr>
            <w:tcW w:w="2149" w:type="dxa"/>
            <w:vAlign w:val="center"/>
          </w:tcPr>
          <w:p w:rsidR="003412BF" w:rsidRPr="00F86280" w:rsidRDefault="003412BF" w:rsidP="0083464F">
            <w:pPr>
              <w:jc w:val="center"/>
              <w:rPr>
                <w:rFonts w:ascii="Arial" w:hAnsi="Arial" w:cs="Arial"/>
                <w:sz w:val="18"/>
              </w:rPr>
            </w:pPr>
            <w:r w:rsidRPr="00F86280">
              <w:rPr>
                <w:rFonts w:ascii="Arial" w:hAnsi="Arial" w:cs="Arial"/>
                <w:sz w:val="18"/>
              </w:rPr>
              <w:t>-0.369 (&lt;0.001)</w:t>
            </w:r>
          </w:p>
        </w:tc>
        <w:tc>
          <w:tcPr>
            <w:tcW w:w="2190" w:type="dxa"/>
          </w:tcPr>
          <w:p w:rsidR="003412BF" w:rsidRPr="00F86280" w:rsidRDefault="003412BF" w:rsidP="0083464F">
            <w:pPr>
              <w:jc w:val="center"/>
              <w:rPr>
                <w:rFonts w:ascii="Arial" w:hAnsi="Arial" w:cs="Arial"/>
                <w:sz w:val="18"/>
              </w:rPr>
            </w:pPr>
            <w:r w:rsidRPr="00F86280">
              <w:rPr>
                <w:rFonts w:ascii="Arial" w:hAnsi="Arial" w:cs="Arial"/>
                <w:sz w:val="18"/>
              </w:rPr>
              <w:t>-0.229 (&lt;0.001)</w:t>
            </w:r>
          </w:p>
        </w:tc>
      </w:tr>
      <w:tr w:rsidR="003412BF" w:rsidRPr="00F86280" w:rsidTr="0083464F">
        <w:trPr>
          <w:jc w:val="center"/>
        </w:trPr>
        <w:tc>
          <w:tcPr>
            <w:tcW w:w="993" w:type="dxa"/>
          </w:tcPr>
          <w:p w:rsidR="003412BF" w:rsidRPr="00F86280" w:rsidRDefault="003412BF" w:rsidP="0083464F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974" w:type="dxa"/>
          </w:tcPr>
          <w:p w:rsidR="003412BF" w:rsidRPr="00F86280" w:rsidRDefault="003412BF" w:rsidP="0083464F">
            <w:pPr>
              <w:jc w:val="center"/>
              <w:rPr>
                <w:rFonts w:ascii="Arial" w:hAnsi="Arial" w:cs="Arial"/>
                <w:sz w:val="18"/>
              </w:rPr>
            </w:pPr>
            <w:r w:rsidRPr="00F86280">
              <w:rPr>
                <w:rFonts w:ascii="Arial" w:hAnsi="Arial" w:cs="Arial"/>
                <w:color w:val="000000" w:themeColor="text1"/>
                <w:sz w:val="18"/>
              </w:rPr>
              <w:t>Liver necroinflammatory grade*</w:t>
            </w:r>
          </w:p>
        </w:tc>
        <w:tc>
          <w:tcPr>
            <w:tcW w:w="2149" w:type="dxa"/>
            <w:vAlign w:val="center"/>
          </w:tcPr>
          <w:p w:rsidR="003412BF" w:rsidRPr="00F86280" w:rsidRDefault="003412BF" w:rsidP="0083464F">
            <w:pPr>
              <w:jc w:val="center"/>
              <w:rPr>
                <w:rFonts w:ascii="Arial" w:hAnsi="Arial" w:cs="Arial"/>
                <w:sz w:val="18"/>
              </w:rPr>
            </w:pPr>
            <w:r w:rsidRPr="00F86280">
              <w:rPr>
                <w:rFonts w:ascii="Arial" w:hAnsi="Arial" w:cs="Arial"/>
                <w:sz w:val="18"/>
              </w:rPr>
              <w:t xml:space="preserve">-0.464 (&lt;0.001) </w:t>
            </w:r>
            <w:r w:rsidRPr="00F86280">
              <w:rPr>
                <w:rFonts w:ascii="Arial" w:hAnsi="Arial" w:cs="Arial"/>
                <w:sz w:val="18"/>
                <w:vertAlign w:val="superscript"/>
              </w:rPr>
              <w:t>*</w:t>
            </w:r>
          </w:p>
        </w:tc>
        <w:tc>
          <w:tcPr>
            <w:tcW w:w="2190" w:type="dxa"/>
          </w:tcPr>
          <w:p w:rsidR="003412BF" w:rsidRPr="00F86280" w:rsidRDefault="003412BF" w:rsidP="0083464F">
            <w:pPr>
              <w:jc w:val="center"/>
              <w:rPr>
                <w:rFonts w:ascii="Arial" w:hAnsi="Arial" w:cs="Arial"/>
                <w:sz w:val="18"/>
              </w:rPr>
            </w:pPr>
            <w:r w:rsidRPr="00F86280">
              <w:rPr>
                <w:rFonts w:ascii="Arial" w:hAnsi="Arial" w:cs="Arial"/>
                <w:sz w:val="18"/>
              </w:rPr>
              <w:t xml:space="preserve">-0.198 (0.090) </w:t>
            </w:r>
            <w:r w:rsidRPr="00F86280">
              <w:rPr>
                <w:rFonts w:ascii="Arial" w:hAnsi="Arial" w:cs="Arial"/>
                <w:sz w:val="18"/>
                <w:vertAlign w:val="superscript"/>
              </w:rPr>
              <w:t>#</w:t>
            </w:r>
          </w:p>
        </w:tc>
      </w:tr>
    </w:tbl>
    <w:p w:rsidR="003412BF" w:rsidRPr="00F86280" w:rsidRDefault="003412BF" w:rsidP="003412BF">
      <w:pPr>
        <w:adjustRightInd w:val="0"/>
        <w:snapToGrid w:val="0"/>
        <w:spacing w:line="360" w:lineRule="auto"/>
        <w:rPr>
          <w:rFonts w:ascii="Arial" w:hAnsi="Arial" w:cs="Arial"/>
          <w:color w:val="000000" w:themeColor="text1"/>
        </w:rPr>
      </w:pPr>
      <w:r w:rsidRPr="00F86280">
        <w:rPr>
          <w:rFonts w:ascii="Arial" w:hAnsi="Arial" w:cs="Arial"/>
          <w:color w:val="000000" w:themeColor="text1"/>
        </w:rPr>
        <w:t>*n=329; #n=128.</w:t>
      </w:r>
      <w:r>
        <w:rPr>
          <w:rFonts w:ascii="Arial" w:hAnsi="Arial" w:cs="Arial"/>
          <w:color w:val="000000" w:themeColor="text1"/>
        </w:rPr>
        <w:t xml:space="preserve"> </w:t>
      </w:r>
      <w:r w:rsidRPr="002164E3">
        <w:rPr>
          <w:rFonts w:ascii="Arial" w:hAnsi="Arial" w:cs="Arial"/>
          <w:color w:val="000000" w:themeColor="text1"/>
        </w:rPr>
        <w:t xml:space="preserve">HBsAg, hepatitis surface antigen; </w:t>
      </w:r>
      <w:r w:rsidRPr="002164E3">
        <w:rPr>
          <w:rFonts w:ascii="Arial" w:hAnsi="Arial" w:cs="Arial"/>
          <w:szCs w:val="21"/>
        </w:rPr>
        <w:t>ALT, a</w:t>
      </w:r>
      <w:r w:rsidRPr="00F86280">
        <w:rPr>
          <w:rFonts w:ascii="Arial" w:hAnsi="Arial" w:cs="Arial"/>
          <w:szCs w:val="21"/>
        </w:rPr>
        <w:t>lanine aminotransferase; AST, aspartate aminotransferase; GGT, gamma-glutamyl transferase.</w:t>
      </w:r>
    </w:p>
    <w:p w:rsidR="003412BF" w:rsidRPr="00F86280" w:rsidRDefault="003412BF" w:rsidP="003412BF">
      <w:pPr>
        <w:spacing w:line="360" w:lineRule="auto"/>
        <w:rPr>
          <w:rFonts w:ascii="Arial" w:hAnsi="Arial" w:cs="Arial"/>
          <w:b/>
          <w:bCs/>
          <w:szCs w:val="24"/>
        </w:rPr>
      </w:pPr>
    </w:p>
    <w:p w:rsidR="002F3E0E" w:rsidRDefault="002F3E0E"/>
    <w:sectPr w:rsidR="002F3E0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20"/>
  <w:characterSpacingControl w:val="doNotCompress"/>
  <w:compat>
    <w:useFELayout/>
  </w:compat>
  <w:rsids>
    <w:rsidRoot w:val="003412BF"/>
    <w:rsid w:val="002F3E0E"/>
    <w:rsid w:val="0034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3412BF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2024-01-26T12:54:00Z</dcterms:created>
  <dcterms:modified xsi:type="dcterms:W3CDTF">2024-01-26T12:54:00Z</dcterms:modified>
</cp:coreProperties>
</file>