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83" w:rsidRPr="002B2A07" w:rsidRDefault="008F3B83" w:rsidP="008F3B83">
      <w:pPr>
        <w:jc w:val="center"/>
        <w:rPr>
          <w:rFonts w:ascii="Times New Roman" w:eastAsia="宋体" w:hAnsi="Times New Roman" w:cs="Times New Roman"/>
          <w:b/>
          <w:bCs/>
          <w:szCs w:val="21"/>
        </w:rPr>
      </w:pPr>
      <w:r w:rsidRPr="002B2A07">
        <w:rPr>
          <w:rFonts w:ascii="Times New Roman" w:eastAsia="宋体" w:hAnsi="Times New Roman" w:cs="Times New Roman" w:hint="eastAsia"/>
          <w:b/>
          <w:bCs/>
          <w:szCs w:val="21"/>
        </w:rPr>
        <w:t xml:space="preserve">Supplementary 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>Table</w:t>
      </w:r>
      <w:r w:rsidRPr="002B2A07"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>2</w:t>
      </w:r>
      <w:r w:rsidRPr="002B2A07">
        <w:rPr>
          <w:rFonts w:ascii="Times New Roman" w:eastAsia="宋体" w:hAnsi="Times New Roman" w:cs="Times New Roman" w:hint="eastAsia"/>
          <w:b/>
          <w:bCs/>
          <w:szCs w:val="21"/>
        </w:rPr>
        <w:t>.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 xml:space="preserve"> Purchase volume and growth rate of hepatitis B antiviral drugs from </w:t>
      </w:r>
      <w:r>
        <w:rPr>
          <w:rFonts w:ascii="Times New Roman" w:eastAsia="宋体" w:hAnsi="Times New Roman" w:cs="Times New Roman"/>
          <w:b/>
          <w:bCs/>
          <w:color w:val="000000"/>
          <w:szCs w:val="21"/>
        </w:rPr>
        <w:t>April</w:t>
      </w:r>
      <w:r w:rsidRPr="002B2A07">
        <w:rPr>
          <w:rFonts w:ascii="Times New Roman" w:eastAsia="宋体" w:hAnsi="Times New Roman" w:cs="Times New Roman"/>
          <w:b/>
          <w:bCs/>
          <w:color w:val="000000"/>
          <w:szCs w:val="21"/>
        </w:rPr>
        <w:t xml:space="preserve"> 2018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 xml:space="preserve"> to </w:t>
      </w:r>
      <w:r>
        <w:rPr>
          <w:rFonts w:ascii="Times New Roman" w:eastAsia="宋体" w:hAnsi="Times New Roman" w:cs="Times New Roman"/>
          <w:b/>
          <w:bCs/>
          <w:szCs w:val="21"/>
        </w:rPr>
        <w:t>March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 xml:space="preserve"> 2021</w:t>
      </w:r>
      <w:bookmarkStart w:id="0" w:name="_Hlk98349726"/>
      <w:r w:rsidRPr="002B2A07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2B2A07">
        <w:rPr>
          <w:rFonts w:ascii="Times New Roman" w:eastAsia="宋体" w:hAnsi="Times New Roman" w:cs="Times New Roman" w:hint="eastAsia"/>
          <w:b/>
          <w:bCs/>
          <w:szCs w:val="21"/>
        </w:rPr>
        <w:t>b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>y region</w:t>
      </w:r>
    </w:p>
    <w:tbl>
      <w:tblPr>
        <w:tblW w:w="0" w:type="auto"/>
        <w:tblLook w:val="04A0"/>
      </w:tblPr>
      <w:tblGrid>
        <w:gridCol w:w="2066"/>
        <w:gridCol w:w="1471"/>
        <w:gridCol w:w="1387"/>
        <w:gridCol w:w="1509"/>
        <w:gridCol w:w="1390"/>
        <w:gridCol w:w="1033"/>
      </w:tblGrid>
      <w:tr w:rsidR="008F3B83" w:rsidTr="00B200B6">
        <w:trPr>
          <w:trHeight w:val="278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bookmarkEnd w:id="0"/>
          <w:p w:rsidR="008F3B83" w:rsidRDefault="008F3B83" w:rsidP="00B200B6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Hepatitis B antiviral drugs</w:t>
            </w:r>
          </w:p>
        </w:tc>
        <w:tc>
          <w:tcPr>
            <w:tcW w:w="53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Volume (million DDDs)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Average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Cumulative</w:t>
            </w:r>
          </w:p>
        </w:tc>
      </w:tr>
      <w:tr w:rsidR="008F3B83" w:rsidTr="00B200B6">
        <w:trPr>
          <w:trHeight w:val="194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</w:tr>
      <w:tr w:rsidR="008F3B83" w:rsidTr="00B200B6">
        <w:trPr>
          <w:trHeight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North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65.18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112.98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144.88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50.79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122.29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46.04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90.30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112.61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60.41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144.57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6.82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15.10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24.39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91.51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257.77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7.56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4.33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5.74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-5.03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-24.03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3.57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1.50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-35.17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-57.99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0.64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-26.51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-46.00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East 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275.89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482.56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555.23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44.98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101.25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195.76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381.19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431.36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53.94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120.35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6.95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49.14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81.31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336.32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1070.07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42.1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28.96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24.28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-23.74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-42.41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24.73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19.33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15.31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-21.32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-38.09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6.29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2.96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-31.05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-52.86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Central 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74.29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93.08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125.70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30.17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69.21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53.92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73.03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95.85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33.35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77.77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3.28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8.64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19.86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146.50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504.84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10.86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7.83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-12.00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-27.91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5.40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1.99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-38.23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-63.05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0.82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0.16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-55.58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-80.90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South 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63.28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89.02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113.66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34.18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79.61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47.73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70.01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80.29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30.69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68.23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2.36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11.10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26.13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253.01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1007.64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6.37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3.72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-21.75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-41.60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3.75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1.38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-35.23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-63.21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2.14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-16.46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-30.44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Southwest 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58.35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99.36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124.58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47.83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113.50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40.21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75.65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94.35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56.43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134.65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4.80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13.82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22.63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125.89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371.66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7.64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5.53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4.66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-21.69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-39.03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4.60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2.33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-28.62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-49.26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1.11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0.61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-25.80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-45.15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Northwest 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25.71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50.23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56.07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53.51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118.11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18.66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40.98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45.30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65.06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142.74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1.67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4.50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8.03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123.82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380.42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3.83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1.66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-32.19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-56.70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1.29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0.94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-13.04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-27.26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0.25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0.14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-24.98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-43.72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lastRenderedPageBreak/>
              <w:t>Northeast 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36.14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44.04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49.44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17.07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36.81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26.33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32.84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35.39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16.24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34.39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3.60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10.99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76.97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204.97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3.46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2.05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-21.28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-40.82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0.81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-38.51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-62.20</w:t>
            </w:r>
          </w:p>
        </w:tc>
      </w:tr>
      <w:tr w:rsidR="008F3B83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8F3B83">
            <w:pPr>
              <w:spacing w:before="100" w:beforeAutospacing="1" w:after="100" w:afterAutospacing="1"/>
              <w:ind w:leftChars="100" w:left="2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-40.93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83" w:rsidRDefault="008F3B83" w:rsidP="00B200B6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-65.59</w:t>
            </w:r>
          </w:p>
        </w:tc>
      </w:tr>
    </w:tbl>
    <w:p w:rsidR="008F3B83" w:rsidRDefault="008F3B83" w:rsidP="008F3B83">
      <w:pPr>
        <w:rPr>
          <w:rFonts w:ascii="Times New Roman" w:hAnsi="Times New Roman" w:cs="Times New Roman"/>
          <w:color w:val="000000"/>
          <w:szCs w:val="21"/>
        </w:rPr>
      </w:pPr>
      <w:r w:rsidRPr="00124CFF">
        <w:rPr>
          <w:rFonts w:ascii="Times New Roman" w:hAnsi="Times New Roman" w:cs="Times New Roman"/>
          <w:color w:val="000000"/>
          <w:szCs w:val="21"/>
        </w:rPr>
        <w:t>Adefovir, ADV; DDD, defined daily dose; ETV, entecavir; GR, growth rate; LAM, lamivudine; Ltd, telbivudine; TDF, tenofovir disoproxil fumarate.</w:t>
      </w:r>
    </w:p>
    <w:p w:rsidR="004057E5" w:rsidRDefault="008F3B83" w:rsidP="008F3B83">
      <w:r>
        <w:rPr>
          <w:rFonts w:ascii="Times New Roman" w:hAnsi="Times New Roman" w:cs="Times New Roman"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ote：</w:t>
      </w:r>
      <w:r>
        <w:rPr>
          <w:rFonts w:ascii="Times New Roman" w:hAnsi="Times New Roman" w:cs="Times New Roman"/>
          <w:szCs w:val="21"/>
        </w:rPr>
        <w:t>North China include Beijing, Tianjin, Hebei, Shanxi and Inner Mongolia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East China included Shanghai, Shandong, Jiangsu, Anhui, Jiangxi, Zhejiang and Fujian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Central China included Hubei, Hunan and Henan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South China included Guangdong, Guangxi</w:t>
      </w:r>
      <w:r>
        <w:rPr>
          <w:rFonts w:ascii="Times New Roman" w:hAnsi="Times New Roman" w:cs="Times New Roman" w:hint="eastAsia"/>
          <w:szCs w:val="21"/>
        </w:rPr>
        <w:t xml:space="preserve"> and</w:t>
      </w:r>
      <w:r>
        <w:rPr>
          <w:rFonts w:ascii="Times New Roman" w:hAnsi="Times New Roman" w:cs="Times New Roman"/>
          <w:szCs w:val="21"/>
        </w:rPr>
        <w:t xml:space="preserve"> Hainan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Southwest included Chongqing, Sichuan, Guizhou, Yunnan and Tibet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Northwest included Shanxi, Gansu, Qinghai, Ningxia and Xinjiang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Northeast included Heilongjiang, Jilin and Liaoning.</w:t>
      </w:r>
    </w:p>
    <w:sectPr w:rsidR="004057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F3B83"/>
    <w:rsid w:val="004057E5"/>
    <w:rsid w:val="008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2022-06-20T01:56:00Z</dcterms:created>
  <dcterms:modified xsi:type="dcterms:W3CDTF">2022-06-20T01:56:00Z</dcterms:modified>
</cp:coreProperties>
</file>