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CBC" w:rsidRDefault="001F5CBC" w:rsidP="001F5CBC"/>
    <w:p w:rsidR="001F5CBC" w:rsidRDefault="001F5CBC" w:rsidP="001F5CBC"/>
    <w:p w:rsidR="001F5CBC" w:rsidRDefault="001F5CBC" w:rsidP="001F5CBC">
      <w:pPr>
        <w:rPr>
          <w:b/>
          <w:bCs/>
        </w:rPr>
      </w:pPr>
    </w:p>
    <w:p w:rsidR="001F5CBC" w:rsidRDefault="001F5CBC" w:rsidP="001F5CBC">
      <w:pPr>
        <w:jc w:val="center"/>
        <w:rPr>
          <w:rFonts w:ascii="Arial" w:eastAsia="黑体" w:hAnsi="Arial"/>
          <w:b/>
          <w:bCs/>
          <w:sz w:val="20"/>
        </w:rPr>
      </w:pPr>
      <w:r>
        <w:rPr>
          <w:rFonts w:ascii="Times New Roman" w:eastAsia="黑体" w:hAnsi="Times New Roman" w:cs="Times New Roman"/>
          <w:b/>
          <w:bCs/>
          <w:kern w:val="2"/>
          <w:sz w:val="21"/>
          <w:szCs w:val="21"/>
        </w:rPr>
        <w:t>Supplementary Table 2. Information about potential targets-organs</w:t>
      </w:r>
      <w:r>
        <w:rPr>
          <w:rFonts w:ascii="Times New Roman" w:eastAsia="黑体" w:hAnsi="Times New Roman" w:cs="Times New Roman" w:hint="eastAsia"/>
          <w:b/>
          <w:bCs/>
          <w:kern w:val="2"/>
          <w:sz w:val="21"/>
          <w:szCs w:val="21"/>
          <w:lang w:eastAsia="zh-CN"/>
        </w:rPr>
        <w:t xml:space="preserve"> </w:t>
      </w:r>
      <w:r>
        <w:rPr>
          <w:rFonts w:ascii="Times New Roman" w:eastAsia="黑体" w:hAnsi="Times New Roman" w:cs="Times New Roman"/>
          <w:b/>
          <w:bCs/>
          <w:kern w:val="2"/>
          <w:sz w:val="21"/>
          <w:szCs w:val="21"/>
        </w:rPr>
        <w:t>location</w:t>
      </w:r>
    </w:p>
    <w:tbl>
      <w:tblPr>
        <w:tblW w:w="0" w:type="auto"/>
        <w:jc w:val="center"/>
        <w:tblLayout w:type="fixed"/>
        <w:tblLook w:val="04A0"/>
      </w:tblPr>
      <w:tblGrid>
        <w:gridCol w:w="3528"/>
        <w:gridCol w:w="3054"/>
      </w:tblGrid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op w:val="single" w:sz="12" w:space="0" w:color="000000"/>
              <w:bottom w:val="single" w:sz="4" w:space="0" w:color="000000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Targets symbol</w:t>
            </w:r>
          </w:p>
        </w:tc>
        <w:tc>
          <w:tcPr>
            <w:tcW w:w="3054" w:type="dxa"/>
            <w:tcBorders>
              <w:top w:val="single" w:sz="12" w:space="0" w:color="000000"/>
              <w:bottom w:val="single" w:sz="4" w:space="0" w:color="000000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Organs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op w:val="single" w:sz="4" w:space="0" w:color="000000"/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CXCR4</w:t>
            </w:r>
          </w:p>
        </w:tc>
        <w:tc>
          <w:tcPr>
            <w:tcW w:w="3054" w:type="dxa"/>
            <w:tcBorders>
              <w:top w:val="single" w:sz="4" w:space="0" w:color="000000"/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AdrenalCortex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MAP3K5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Adrenalgland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PKM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Appendix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PTPN11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Appendix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CXCR4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AtrioventricularNode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PKM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AtrioventricularNode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CXCR4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CardiacMyocytes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BCL2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CardiacMyocytes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TP53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CardiacMyocytes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ESR1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CardiacMyocytes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PTGS1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CardiacMyocytes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TGFB1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CardiacMyocytes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HMOX1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CD105+_Endothelial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ITGB2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CD105+_Endothelial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CASP8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CD14+_Monocytes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FPR2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CD14+_Monocytes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CES1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CD33+_Myeloid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MAPK14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CD33+_Myeloid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PRTN3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CD33+_Myeloid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TLR4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CD33+_Myeloid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CD38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CD34+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TGFB1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CD34+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CASP1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CD4+_Tcells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MAPK14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CD56+_NKCells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PIK3CG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CD56+_NKCells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ST6GAL1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CerebellumPeduncles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CPT2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Colon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LGALS9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Colon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HMOX1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Fetallung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ESR1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GlobusPallidus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HMOX1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Heart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TGFB1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Heart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TGFB1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Leukemia_promyelocytic-HL-60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CPT2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Liver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CES1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Lung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STAT3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Ovary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PKM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Ovary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ALB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Pancreas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PTPN11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Pancreas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VEGFA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Pancreas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PKM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Pancreas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CFTR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PancreaticIslet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CXCR4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PancreaticIslet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PTGS2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PancreaticIslet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PTGS2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PancreaticIslet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STAT3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PancreaticIslet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ST6GAL1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PancreaticIslet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KLK1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PancreaticIslet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SERPINE1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PancreaticIslet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TTR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PancreaticIslet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VEGFA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PancreaticIslet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CXCR4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Pineal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EGFR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PrefrontalCortex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ABL1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Prostate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PKM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Prostate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PDGFRB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Retina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CASP1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Small_intestine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F2R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SmoothMuscle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SPHK1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SmoothMuscle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STAT3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TestisGermCell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RELA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TestisIntersitial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PKM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TestisSeminiferousTubule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PSMB8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Thymus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PKM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Thyroid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PSMB8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Tonsil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ST6GAL1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TrigeminalGanglion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BRD4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Uterus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ABL1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Uterus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PKM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Uterus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MAPK14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WholeBlood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PTGS2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WholeBlood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STAT3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WholeBlood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HMOX1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WholeBlood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TLR4</w:t>
            </w:r>
          </w:p>
        </w:tc>
        <w:tc>
          <w:tcPr>
            <w:tcW w:w="3054" w:type="dxa"/>
            <w:tcBorders>
              <w:tl2br w:val="nil"/>
              <w:tr2bl w:val="nil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WholeBlood</w:t>
            </w:r>
          </w:p>
        </w:tc>
      </w:tr>
      <w:tr w:rsidR="001F5CBC" w:rsidTr="00C71A6B">
        <w:trPr>
          <w:trHeight w:val="312"/>
          <w:jc w:val="center"/>
        </w:trPr>
        <w:tc>
          <w:tcPr>
            <w:tcW w:w="3528" w:type="dxa"/>
            <w:tcBorders>
              <w:bottom w:val="single" w:sz="12" w:space="0" w:color="000000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PTGS1</w:t>
            </w:r>
          </w:p>
        </w:tc>
        <w:tc>
          <w:tcPr>
            <w:tcW w:w="3054" w:type="dxa"/>
            <w:tcBorders>
              <w:bottom w:val="single" w:sz="12" w:space="0" w:color="000000"/>
            </w:tcBorders>
            <w:noWrap/>
          </w:tcPr>
          <w:p w:rsidR="001F5CBC" w:rsidRDefault="001F5CBC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WholeBlood</w:t>
            </w:r>
          </w:p>
        </w:tc>
      </w:tr>
    </w:tbl>
    <w:p w:rsidR="001F5CBC" w:rsidRDefault="001F5CBC" w:rsidP="001F5CBC">
      <w:r>
        <w:rPr>
          <w:rFonts w:ascii="Times New Roman" w:eastAsia="宋体" w:hAnsi="Times New Roman" w:cs="Times New Roman"/>
          <w:kern w:val="2"/>
          <w:lang w:eastAsia="zh-CN"/>
        </w:rPr>
        <w:lastRenderedPageBreak/>
        <w:t>ABL1, tyrosine-protein kinase ABL1; ALB, albumin; BCL2, B-cell lymphoma/Leukemia-2; BRD4, bromodomain containing 4; CASP1, caspase-1; CASP8, caspase-8; CES1, carboxylesterase 1; CFTR, cystic fibrosis transmembrane conductance regulator; CPT2, carnitine palmitoyltransferase 2; CXCR4, C-X-C chemokine receptor type 4; EGFR, epidermal growth factor receptor; ESR1, estrogen receptor 1; F2R, coagulation factor II thrombin receptor; FPR2, formyl peptide receptor 2; HMOX1, heme oxygenase 1; ITGB2, integrin beta-2; KLK1, kallikrein 1; LGALS9, galectin 9; MAP3K5, mitogen-activated protein kinase kinase kinase 5; MAPK14, mitogen-activated protein kinase 14; PDGFRB, platelet-derived growth factor receptor beta; PIK3CG, phosphatidylinositol-4,5-bisphosphate 3-kinase catalytic subunit gamma; PKM, pyruvate kinase M1/2; PRTN3, proteinase 3; PSMB8, proteasome subunit beta 8; PTGS1, prostaglandin G/H synthase 1; PTGS2, prostaglandin G/H synthase 2; PTPN11, tyrosine-protein phosphatase non-receptor type 11; RELA, transcription factor P65; SERPINE1, plasminogen activator inhibitor 1; SPHK1, sphingosine kinase 1;</w:t>
      </w:r>
      <w:r>
        <w:rPr>
          <w:rFonts w:ascii="Times New Roman" w:hAnsi="Times New Roman" w:cs="Times New Roman" w:hint="eastAsia"/>
          <w:kern w:val="2"/>
          <w:lang w:eastAsia="zh-CN"/>
        </w:rPr>
        <w:t xml:space="preserve"> </w:t>
      </w:r>
      <w:r>
        <w:rPr>
          <w:rFonts w:ascii="Times New Roman" w:eastAsia="宋体" w:hAnsi="Times New Roman" w:cs="Times New Roman"/>
          <w:kern w:val="2"/>
          <w:lang w:eastAsia="zh-CN"/>
        </w:rPr>
        <w:t>ST6GAL1, ST6 beta-galactoside alpha-2,6-sialyltransferase 1; STAT3, signal transducer and activator of transcription 3; TGFB1, transforming growth factor beta-1; TLR4, toll-like receptor 4; TP53, tumor protein P53; TTR, transthyretin; VEGFA, vascular endothelial growth factor A</w:t>
      </w:r>
      <w:r>
        <w:rPr>
          <w:rFonts w:ascii="Times New Roman" w:hAnsi="Times New Roman" w:cs="Times New Roman" w:hint="eastAsia"/>
          <w:kern w:val="2"/>
          <w:lang w:eastAsia="zh-CN"/>
        </w:rPr>
        <w:t>.</w:t>
      </w:r>
    </w:p>
    <w:p w:rsidR="001F5CBC" w:rsidRDefault="001F5CBC" w:rsidP="001F5CBC"/>
    <w:p w:rsidR="001F5CBC" w:rsidRDefault="001F5CBC" w:rsidP="001F5CBC"/>
    <w:p w:rsidR="002D1C1A" w:rsidRDefault="002D1C1A"/>
    <w:sectPr w:rsidR="002D1C1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1F5CBC"/>
    <w:rsid w:val="001F5CBC"/>
    <w:rsid w:val="002D1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2024-08-16T11:40:00Z</dcterms:created>
  <dcterms:modified xsi:type="dcterms:W3CDTF">2024-08-16T11:40:00Z</dcterms:modified>
</cp:coreProperties>
</file>