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EDA5" w14:textId="77777777" w:rsidR="00123363" w:rsidRPr="00A12EAF" w:rsidRDefault="00123363" w:rsidP="00123363">
      <w:pPr>
        <w:rPr>
          <w:rFonts w:ascii="Times New Roman" w:hAnsi="Times New Roman" w:cs="Times New Roman"/>
          <w:b/>
          <w:bCs/>
          <w:sz w:val="28"/>
          <w:szCs w:val="32"/>
        </w:rPr>
      </w:pPr>
      <w:r w:rsidRPr="00A12EAF">
        <w:rPr>
          <w:rFonts w:ascii="Times New Roman" w:hAnsi="Times New Roman" w:cs="Times New Roman"/>
          <w:b/>
          <w:bCs/>
          <w:sz w:val="28"/>
          <w:szCs w:val="32"/>
        </w:rPr>
        <w:t xml:space="preserve">Supplementary </w:t>
      </w:r>
      <w:r w:rsidRPr="00A12EAF">
        <w:rPr>
          <w:rFonts w:ascii="Times New Roman" w:hAnsi="Times New Roman" w:cs="Times New Roman" w:hint="eastAsia"/>
          <w:b/>
          <w:bCs/>
          <w:sz w:val="28"/>
          <w:szCs w:val="32"/>
        </w:rPr>
        <w:t>materials</w:t>
      </w:r>
    </w:p>
    <w:p w14:paraId="0EC6A8F6" w14:textId="77777777" w:rsidR="00123363" w:rsidRPr="00A12EAF" w:rsidRDefault="00123363" w:rsidP="00123363">
      <w:pPr>
        <w:rPr>
          <w:rFonts w:ascii="Times New Roman" w:hAnsi="Times New Roman" w:cs="Times New Roman"/>
          <w:b/>
          <w:bCs/>
          <w:sz w:val="28"/>
          <w:szCs w:val="32"/>
        </w:rPr>
      </w:pPr>
      <w:r w:rsidRPr="00A12EAF">
        <w:rPr>
          <w:rFonts w:ascii="Times New Roman" w:hAnsi="Times New Roman" w:cs="Times New Roman" w:hint="eastAsia"/>
          <w:b/>
          <w:bCs/>
          <w:sz w:val="28"/>
          <w:szCs w:val="32"/>
        </w:rPr>
        <w:t>Title: Berberine Attenuates Hepatic Sinusoidal Injury by Disrupting the Vicious Cycle between LSEC Injury and Neutrophil</w:t>
      </w:r>
    </w:p>
    <w:p w14:paraId="764CACEC" w14:textId="77777777" w:rsidR="00123363" w:rsidRPr="00A12EAF" w:rsidRDefault="00123363" w:rsidP="00123363">
      <w:pPr>
        <w:spacing w:after="160" w:line="360" w:lineRule="auto"/>
        <w:rPr>
          <w:rFonts w:ascii="Times New Roman" w:eastAsia="DengXian" w:hAnsi="Times New Roman" w:cs="Times New Roman"/>
          <w:sz w:val="22"/>
          <w14:ligatures w14:val="standardContextual"/>
        </w:rPr>
      </w:pPr>
      <w:r w:rsidRPr="00A12EAF">
        <w:rPr>
          <w:rFonts w:ascii="Times New Roman" w:eastAsia="DengXian" w:hAnsi="Times New Roman" w:cs="Times New Roman" w:hint="eastAsia"/>
          <w:sz w:val="22"/>
          <w14:ligatures w14:val="standardContextual"/>
        </w:rPr>
        <w:t>Yiken Lin</w:t>
      </w:r>
      <w:r w:rsidRPr="00A12EAF">
        <w:rPr>
          <w:rFonts w:ascii="Times New Roman" w:eastAsia="SimSun" w:hAnsi="Times New Roman" w:cs="Times New Roman"/>
          <w:sz w:val="24"/>
          <w:szCs w:val="24"/>
          <w:vertAlign w:val="superscript"/>
          <w14:ligatures w14:val="standardContextual"/>
        </w:rPr>
        <w:t>1,2#</w:t>
      </w:r>
      <w:r w:rsidRPr="00A12EAF">
        <w:rPr>
          <w:rFonts w:ascii="Times New Roman" w:eastAsia="DengXian" w:hAnsi="Times New Roman" w:cs="Times New Roman" w:hint="eastAsia"/>
          <w:sz w:val="22"/>
          <w14:ligatures w14:val="standardContextual"/>
        </w:rPr>
        <w:t>, Wenjia Tian</w:t>
      </w:r>
      <w:r w:rsidRPr="00A12EAF">
        <w:rPr>
          <w:rFonts w:ascii="Times New Roman" w:eastAsia="SimSun" w:hAnsi="Times New Roman" w:cs="Times New Roman"/>
          <w:sz w:val="24"/>
          <w:szCs w:val="24"/>
          <w:vertAlign w:val="superscript"/>
          <w14:ligatures w14:val="standardContextual"/>
        </w:rPr>
        <w:t>1.2#</w:t>
      </w:r>
      <w:r w:rsidRPr="00A12EAF">
        <w:rPr>
          <w:rFonts w:ascii="Times New Roman" w:eastAsia="DengXian" w:hAnsi="Times New Roman" w:cs="Times New Roman" w:hint="eastAsia"/>
          <w:sz w:val="22"/>
          <w14:ligatures w14:val="standardContextual"/>
        </w:rPr>
        <w:t>, Weiming Dai</w:t>
      </w:r>
      <w:r w:rsidRPr="00A12EAF">
        <w:rPr>
          <w:rFonts w:ascii="Times New Roman" w:eastAsia="SimSun" w:hAnsi="Times New Roman" w:cs="Times New Roman"/>
          <w:sz w:val="24"/>
          <w:szCs w:val="24"/>
          <w:vertAlign w:val="superscript"/>
          <w14:ligatures w14:val="standardContextual"/>
        </w:rPr>
        <w:t>1.2</w:t>
      </w:r>
      <w:r w:rsidRPr="00A12EAF">
        <w:rPr>
          <w:rFonts w:ascii="Times New Roman" w:eastAsia="DengXian" w:hAnsi="Times New Roman" w:cs="Times New Roman" w:hint="eastAsia"/>
          <w:sz w:val="22"/>
          <w14:ligatures w14:val="standardContextual"/>
        </w:rPr>
        <w:t>, Ning Chen</w:t>
      </w:r>
      <w:r w:rsidRPr="00A12EAF">
        <w:rPr>
          <w:rFonts w:ascii="Times New Roman" w:eastAsia="SimSun" w:hAnsi="Times New Roman" w:cs="Times New Roman"/>
          <w:sz w:val="24"/>
          <w:szCs w:val="24"/>
          <w:vertAlign w:val="superscript"/>
          <w14:ligatures w14:val="standardContextual"/>
        </w:rPr>
        <w:t>1.2</w:t>
      </w:r>
      <w:r w:rsidRPr="00A12EAF">
        <w:rPr>
          <w:rFonts w:ascii="Times New Roman" w:eastAsia="DengXian" w:hAnsi="Times New Roman" w:cs="Times New Roman" w:hint="eastAsia"/>
          <w:sz w:val="22"/>
          <w14:ligatures w14:val="standardContextual"/>
        </w:rPr>
        <w:t>, Huifeng Hao</w:t>
      </w:r>
      <w:r w:rsidRPr="00A12EAF">
        <w:rPr>
          <w:rFonts w:ascii="Times New Roman" w:eastAsia="SimSun" w:hAnsi="Times New Roman" w:cs="Times New Roman"/>
          <w:sz w:val="24"/>
          <w:szCs w:val="24"/>
          <w:vertAlign w:val="superscript"/>
          <w14:ligatures w14:val="standardContextual"/>
        </w:rPr>
        <w:t>3*</w:t>
      </w:r>
      <w:r w:rsidRPr="00A12EAF">
        <w:rPr>
          <w:rFonts w:ascii="Times New Roman" w:eastAsia="DengXian" w:hAnsi="Times New Roman" w:cs="Times New Roman" w:hint="eastAsia"/>
          <w:sz w:val="22"/>
          <w14:ligatures w14:val="standardContextual"/>
        </w:rPr>
        <w:t>, Yulan Liu</w:t>
      </w:r>
      <w:r w:rsidRPr="00A12EAF">
        <w:rPr>
          <w:rFonts w:ascii="Times New Roman" w:eastAsia="SimSun" w:hAnsi="Times New Roman" w:cs="Times New Roman"/>
          <w:sz w:val="24"/>
          <w:szCs w:val="24"/>
          <w:vertAlign w:val="superscript"/>
          <w14:ligatures w14:val="standardContextual"/>
        </w:rPr>
        <w:t>1,2**</w:t>
      </w:r>
    </w:p>
    <w:p w14:paraId="7692C57A" w14:textId="77777777" w:rsidR="00123363" w:rsidRPr="00A12EAF" w:rsidRDefault="00123363" w:rsidP="00123363">
      <w:pPr>
        <w:pStyle w:val="17babae4-54f0-44fa-a444-1068224df0ac"/>
        <w:jc w:val="left"/>
        <w:rPr>
          <w:rFonts w:ascii="Times New Roman" w:hAnsi="Times New Roman"/>
          <w:color w:val="auto"/>
          <w:sz w:val="24"/>
          <w:szCs w:val="24"/>
        </w:rPr>
      </w:pPr>
      <w:r w:rsidRPr="00A12EAF">
        <w:rPr>
          <w:rFonts w:ascii="Times New Roman" w:hAnsi="Times New Roman"/>
          <w:color w:val="auto"/>
          <w:sz w:val="24"/>
          <w:szCs w:val="24"/>
        </w:rPr>
        <w:t>1. Supplementary methods</w:t>
      </w:r>
    </w:p>
    <w:p w14:paraId="77AEE150" w14:textId="77777777" w:rsidR="00123363" w:rsidRPr="00A12EAF" w:rsidRDefault="00123363" w:rsidP="00123363">
      <w:pPr>
        <w:spacing w:after="160"/>
        <w:rPr>
          <w:rFonts w:ascii="Times New Roman" w:eastAsia="DengXian" w:hAnsi="Times New Roman" w:cs="Times New Roman"/>
          <w:b/>
          <w:bCs/>
          <w:sz w:val="22"/>
          <w14:ligatures w14:val="standardContextual"/>
        </w:rPr>
      </w:pPr>
      <w:r w:rsidRPr="00A12EAF">
        <w:rPr>
          <w:rFonts w:ascii="Times New Roman" w:eastAsia="DengXian" w:hAnsi="Times New Roman" w:cs="Times New Roman" w:hint="eastAsia"/>
          <w:b/>
          <w:bCs/>
          <w:sz w:val="22"/>
          <w14:ligatures w14:val="standardContextual"/>
        </w:rPr>
        <w:t>1.1 Animals and treatments</w:t>
      </w:r>
    </w:p>
    <w:p w14:paraId="0B06ADFB" w14:textId="77777777" w:rsidR="00123363" w:rsidRPr="003E447B" w:rsidRDefault="00123363" w:rsidP="00123363">
      <w:pPr>
        <w:spacing w:after="160"/>
        <w:ind w:firstLineChars="100" w:firstLine="220"/>
        <w:rPr>
          <w:rFonts w:ascii="Times New Roman" w:eastAsia="DengXian" w:hAnsi="Times New Roman" w:cs="Times New Roman"/>
          <w:color w:val="EE0000"/>
          <w:sz w:val="22"/>
          <w14:ligatures w14:val="standardContextual"/>
        </w:rPr>
      </w:pPr>
      <w:r w:rsidRPr="00945F94">
        <w:rPr>
          <w:rFonts w:ascii="Times New Roman" w:eastAsia="DengXian" w:hAnsi="Times New Roman" w:cs="Times New Roman"/>
          <w:sz w:val="22"/>
          <w14:ligatures w14:val="standardContextual"/>
        </w:rPr>
        <w:t>Throughout the experimental period, animals were housed in a specific pathogen-free (SPF) environment at 21±2℃ with a 12-hour/12-hour cycle of darkness and light.</w:t>
      </w:r>
      <w:r w:rsidRPr="003E447B">
        <w:rPr>
          <w:rFonts w:ascii="Times New Roman" w:eastAsia="DengXian" w:hAnsi="Times New Roman" w:cs="Times New Roman" w:hint="eastAsia"/>
          <w:color w:val="EE0000"/>
          <w:sz w:val="22"/>
          <w14:ligatures w14:val="standardContextual"/>
        </w:rPr>
        <w:t xml:space="preserve"> </w:t>
      </w:r>
    </w:p>
    <w:p w14:paraId="1A4D29A9" w14:textId="77777777" w:rsidR="00123363" w:rsidRPr="00A12EAF" w:rsidRDefault="00123363" w:rsidP="00123363">
      <w:pPr>
        <w:spacing w:after="160"/>
        <w:ind w:firstLineChars="100" w:firstLine="220"/>
        <w:rPr>
          <w:rFonts w:ascii="Times New Roman" w:eastAsia="DengXian" w:hAnsi="Times New Roman" w:cs="Times New Roman"/>
          <w:sz w:val="22"/>
          <w14:ligatures w14:val="standardContextual"/>
        </w:rPr>
      </w:pPr>
      <w:r w:rsidRPr="00A12EAF">
        <w:rPr>
          <w:rFonts w:ascii="Times New Roman" w:eastAsia="DengXian" w:hAnsi="Times New Roman" w:cs="Times New Roman" w:hint="eastAsia"/>
          <w:sz w:val="22"/>
          <w14:ligatures w14:val="standardContextual"/>
        </w:rPr>
        <w:t>In the mouse model of monocrotaline (MCT)-induced hepatic sinusoidal obstructive syndrome (HSOS), mice were fasted for 12 hours and then administered a single dose of MCT (800mg/kg; MedChemExpress, HY-N0750) by oral gavage. Mice in the negative control (NC) group received an equivalent volume of sterile water. For berberine (BBR) treatment, mice were administered either a low dose (100mg/kg) or a high dose (200mg/kg) of BBR (MedChemExpress, HY-18258) daily via gavage for five consecutive days prior to MCT administration. All mice were sacrificed 24 hours after MCT gavage. To investigate the effects of MAPK inhibitors, MCT-HSOS mice received a single intraperitoneal injection of the ERK inhibitor PD98059 (10mg/kg; MedChemExpress, HY-12028), the JNK inhibitor SP600125 (15mg/kg; MedChemExpress, HY-12041), or the p38 inhibitor SB203580 (10mg/kg; MedChemExpress, HY-10256) immediately following MCT gavage.</w:t>
      </w:r>
    </w:p>
    <w:p w14:paraId="1D440A12" w14:textId="77777777" w:rsidR="00123363" w:rsidRPr="00A12EAF" w:rsidRDefault="00123363" w:rsidP="00123363">
      <w:pPr>
        <w:spacing w:after="160"/>
        <w:ind w:firstLineChars="100" w:firstLine="220"/>
        <w:rPr>
          <w:rFonts w:ascii="Times New Roman" w:eastAsia="DengXian" w:hAnsi="Times New Roman" w:cs="Times New Roman"/>
          <w:sz w:val="22"/>
          <w14:ligatures w14:val="standardContextual"/>
        </w:rPr>
      </w:pPr>
      <w:r w:rsidRPr="00A12EAF">
        <w:rPr>
          <w:rFonts w:ascii="Times New Roman" w:eastAsia="DengXian" w:hAnsi="Times New Roman" w:cs="Times New Roman"/>
          <w:sz w:val="22"/>
          <w14:ligatures w14:val="standardContextual"/>
        </w:rPr>
        <w:t>The mouse model of oxaliplatin-induced HSOS was established by intraperitoneal injection of 8mg/kg oxaliplatin (MedChemExpress, HY-17371, China) once a week for 6 weeks. The negative control group received the same volume of vehicle. The mice in the treatment group were gavaged with high-dose berberine (200 mg/kg) daily. All mice were sacrificed 24 hours after the final oxaliplatin injection</w:t>
      </w:r>
      <w:r w:rsidRPr="00A12EAF">
        <w:rPr>
          <w:rFonts w:ascii="Times New Roman" w:eastAsia="DengXian" w:hAnsi="Times New Roman" w:cs="Times New Roman" w:hint="eastAsia"/>
          <w:sz w:val="22"/>
          <w14:ligatures w14:val="standardContextual"/>
        </w:rPr>
        <w:t>.</w:t>
      </w:r>
    </w:p>
    <w:p w14:paraId="56430790" w14:textId="77777777" w:rsidR="00123363" w:rsidRPr="00A12EAF" w:rsidRDefault="00123363" w:rsidP="00123363">
      <w:pPr>
        <w:spacing w:after="160"/>
        <w:rPr>
          <w:rFonts w:ascii="Times New Roman" w:eastAsia="DengXian" w:hAnsi="Times New Roman" w:cs="Times New Roman"/>
          <w:b/>
          <w:bCs/>
          <w:sz w:val="22"/>
          <w14:ligatures w14:val="standardContextual"/>
        </w:rPr>
      </w:pPr>
      <w:r w:rsidRPr="00A12EAF">
        <w:rPr>
          <w:rFonts w:ascii="Times New Roman" w:eastAsia="DengXian" w:hAnsi="Times New Roman" w:cs="Times New Roman" w:hint="eastAsia"/>
          <w:b/>
          <w:bCs/>
          <w:sz w:val="22"/>
          <w14:ligatures w14:val="standardContextual"/>
        </w:rPr>
        <w:t>1.2 Isolation of primary liver sinusoidal endothelial cells (LSECs), Kupf</w:t>
      </w:r>
      <w:r w:rsidRPr="00A12EAF">
        <w:rPr>
          <w:rFonts w:ascii="Times New Roman" w:eastAsia="DengXian" w:hAnsi="Times New Roman" w:cs="Times New Roman"/>
          <w:b/>
          <w:bCs/>
          <w:sz w:val="22"/>
          <w14:ligatures w14:val="standardContextual"/>
        </w:rPr>
        <w:t>f</w:t>
      </w:r>
      <w:r w:rsidRPr="00A12EAF">
        <w:rPr>
          <w:rFonts w:ascii="Times New Roman" w:eastAsia="DengXian" w:hAnsi="Times New Roman" w:cs="Times New Roman" w:hint="eastAsia"/>
          <w:b/>
          <w:bCs/>
          <w:sz w:val="22"/>
          <w14:ligatures w14:val="standardContextual"/>
        </w:rPr>
        <w:t>er cells (KCs), hepatic stellate cells (HSCs) and hepatocytes.</w:t>
      </w:r>
    </w:p>
    <w:p w14:paraId="648613E6" w14:textId="77777777" w:rsidR="00123363" w:rsidRPr="00A12EAF" w:rsidRDefault="00123363" w:rsidP="00123363">
      <w:pPr>
        <w:spacing w:after="160"/>
        <w:rPr>
          <w:rFonts w:ascii="Times New Roman" w:eastAsia="DengXian" w:hAnsi="Times New Roman" w:cs="Times New Roman"/>
          <w:sz w:val="22"/>
          <w14:ligatures w14:val="standardContextual"/>
        </w:rPr>
      </w:pPr>
      <w:r w:rsidRPr="00A12EAF">
        <w:rPr>
          <w:rFonts w:ascii="Times New Roman" w:eastAsia="DengXian" w:hAnsi="Times New Roman" w:cs="Times New Roman" w:hint="eastAsia"/>
          <w:sz w:val="22"/>
          <w14:ligatures w14:val="standardContextual"/>
        </w:rPr>
        <w:t xml:space="preserve">  </w:t>
      </w:r>
      <w:r w:rsidRPr="00A12EAF">
        <w:rPr>
          <w:rFonts w:ascii="Times New Roman" w:eastAsia="DengXian" w:hAnsi="Times New Roman" w:cs="Times New Roman"/>
          <w:sz w:val="22"/>
          <w14:ligatures w14:val="standardContextual"/>
        </w:rPr>
        <w:t>Briefly, the liver was digested with collagenase infused via the portal vein, and the obtained cell suspensions were centrifuged at 50g for 2 minutes to collect pelleted hepatocytes. The supernatant, which includes non-parenchymal cells, was subjected to density gradient-based separation using 11.5% and 17.6% OptiPrep™ Density Gradient Medium (Sigma, D1556). After being centrifuged at 1400g for 20 minutes (with no brake), HSCs were loaded on the top of 11.5% OptiPrep™ Density Gradient Medium, and LSECs and KCs were loaded on the border between 11.5% and 17.6% OptiPrep™ Density Gradient Medium. Then, LSECs and KCs were further isolated using CD146 Microbeads (Miltenyi Biotec, 130-093-596) and F4/80 Microbeads (Miltenyi Biotec, 130-110-443) according to the manufacturer’s instructions. Primary KC, HSC, and hepatocytes were cultured in complete media DMEM, and primary LSECs were cultured in endothelial cell growth medium (ScienCell, 1001).</w:t>
      </w:r>
    </w:p>
    <w:p w14:paraId="06B650AD" w14:textId="77777777" w:rsidR="00123363" w:rsidRPr="00A12EAF" w:rsidRDefault="00123363" w:rsidP="00123363">
      <w:pPr>
        <w:spacing w:after="160"/>
        <w:rPr>
          <w:rFonts w:ascii="Times New Roman" w:eastAsia="DengXian" w:hAnsi="Times New Roman" w:cs="Times New Roman"/>
          <w:b/>
          <w:bCs/>
          <w:sz w:val="22"/>
          <w14:ligatures w14:val="standardContextual"/>
        </w:rPr>
      </w:pPr>
      <w:r w:rsidRPr="00A12EAF">
        <w:rPr>
          <w:rFonts w:ascii="Times New Roman" w:eastAsia="DengXian" w:hAnsi="Times New Roman" w:cs="Times New Roman" w:hint="eastAsia"/>
          <w:b/>
          <w:bCs/>
          <w:sz w:val="22"/>
          <w14:ligatures w14:val="standardContextual"/>
        </w:rPr>
        <w:lastRenderedPageBreak/>
        <w:t>1.3 Analysis of serum parameters</w:t>
      </w:r>
    </w:p>
    <w:p w14:paraId="1B41A277" w14:textId="77777777" w:rsidR="00123363" w:rsidRPr="00A12EAF" w:rsidRDefault="00123363" w:rsidP="00123363">
      <w:pPr>
        <w:spacing w:after="160"/>
        <w:ind w:firstLineChars="100" w:firstLine="220"/>
        <w:rPr>
          <w:rFonts w:ascii="Times New Roman" w:eastAsia="DengXian" w:hAnsi="Times New Roman" w:cs="Times New Roman"/>
          <w:sz w:val="22"/>
          <w14:ligatures w14:val="standardContextual"/>
        </w:rPr>
      </w:pPr>
      <w:r w:rsidRPr="00A12EAF">
        <w:rPr>
          <w:rFonts w:ascii="Times New Roman" w:eastAsia="DengXian" w:hAnsi="Times New Roman" w:cs="Times New Roman" w:hint="eastAsia"/>
          <w:sz w:val="22"/>
          <w14:ligatures w14:val="standardContextual"/>
        </w:rPr>
        <w:t>Serum concentrations of alanine aminotransferase (ALT) and aspartate aminotransferase (AST) were measured by commercial assay kits (Nanjing Jiancheng Bioengineering Institute, C009 and C010) according to the manufacturer</w:t>
      </w:r>
      <w:r w:rsidRPr="00A12EAF">
        <w:rPr>
          <w:rFonts w:ascii="Times New Roman" w:eastAsia="DengXian" w:hAnsi="Times New Roman" w:cs="Times New Roman"/>
          <w:sz w:val="22"/>
          <w14:ligatures w14:val="standardContextual"/>
        </w:rPr>
        <w:t>’</w:t>
      </w:r>
      <w:r w:rsidRPr="00A12EAF">
        <w:rPr>
          <w:rFonts w:ascii="Times New Roman" w:eastAsia="DengXian" w:hAnsi="Times New Roman" w:cs="Times New Roman" w:hint="eastAsia"/>
          <w:sz w:val="22"/>
          <w14:ligatures w14:val="standardContextual"/>
        </w:rPr>
        <w:t>s instructions. Serum concentration of hyaluronic acid (HA) was measured by ElaBoXTMHA ELISA Kit (Solarbio, SEKH-0509) according to the manufacturer</w:t>
      </w:r>
      <w:r w:rsidRPr="00A12EAF">
        <w:rPr>
          <w:rFonts w:ascii="Times New Roman" w:eastAsia="DengXian" w:hAnsi="Times New Roman" w:cs="Times New Roman" w:hint="eastAsia"/>
          <w:sz w:val="22"/>
          <w14:ligatures w14:val="standardContextual"/>
        </w:rPr>
        <w:t>’</w:t>
      </w:r>
      <w:r w:rsidRPr="00A12EAF">
        <w:rPr>
          <w:rFonts w:ascii="Times New Roman" w:eastAsia="DengXian" w:hAnsi="Times New Roman" w:cs="Times New Roman" w:hint="eastAsia"/>
          <w:sz w:val="22"/>
          <w14:ligatures w14:val="standardContextual"/>
        </w:rPr>
        <w:t>s instructions.</w:t>
      </w:r>
      <w:r w:rsidRPr="009C70B8">
        <w:rPr>
          <w:rFonts w:ascii="Times New Roman" w:eastAsia="DengXian" w:hAnsi="Times New Roman" w:cs="Times New Roman"/>
          <w:color w:val="EE0000"/>
          <w:sz w:val="22"/>
          <w14:ligatures w14:val="standardContextual"/>
        </w:rPr>
        <w:fldChar w:fldCharType="begin"/>
      </w:r>
      <w:r w:rsidRPr="009C70B8">
        <w:rPr>
          <w:rFonts w:ascii="Times New Roman" w:eastAsia="DengXian" w:hAnsi="Times New Roman" w:cs="Times New Roman"/>
          <w:color w:val="EE0000"/>
          <w:sz w:val="22"/>
          <w14:ligatures w14:val="standardContextual"/>
        </w:rPr>
        <w:instrText xml:space="preserve"> ADDIN EN.CITE &lt;EndNote&gt;&lt;Cite&gt;&lt;Author&gt;Wang&lt;/Author&gt;&lt;Year&gt;2021&lt;/Year&gt;&lt;RecNum&gt;18&lt;/RecNum&gt;&lt;DisplayText&gt;&lt;style face="superscript"&gt;1&lt;/style&gt;&lt;/DisplayText&gt;&lt;record&gt;&lt;rec-number&gt;18&lt;/rec-number&gt;&lt;foreign-keys&gt;&lt;key app="EN" db-id="swzzxre2k5a55ae2sr75wfxavwfx2t5ve9f9" timestamp="1758467278"&gt;18&lt;/key&gt;&lt;/foreign-keys&gt;&lt;ref-type name="Journal Article"&gt;17&lt;/ref-type&gt;&lt;contributors&gt;&lt;authors&gt;&lt;author&gt;Wang, Yang&lt;/author&gt;&lt;author&gt;Zhang, Yifan&lt;/author&gt;&lt;author&gt;Liu, Yun&lt;/author&gt;&lt;author&gt;Xu, Jun&lt;/author&gt;&lt;author&gt;Liu, Yulan&lt;/author&gt;&lt;/authors&gt;&lt;/contributors&gt;&lt;titles&gt;&lt;title&gt;Gut–Liver Axis: Liver Sinusoidal Endothelial Cells Function as the Hepatic Barrier in Colitis-Induced Liver Injury&lt;/title&gt;&lt;secondary-title&gt;Frontiers in Cell and Developmental Biology&lt;/secondary-title&gt;&lt;/titles&gt;&lt;periodical&gt;&lt;full-title&gt;Frontiers in Cell and Developmental Biology&lt;/full-title&gt;&lt;/periodical&gt;&lt;volume&gt;9&lt;/volume&gt;&lt;dates&gt;&lt;year&gt;2021&lt;/year&gt;&lt;/dates&gt;&lt;isbn&gt;2296-634X&lt;/isbn&gt;&lt;urls&gt;&lt;/urls&gt;&lt;electronic-resource-num&gt;10.3389/fcell.2021.702890&lt;/electronic-resource-num&gt;&lt;/record&gt;&lt;/Cite&gt;&lt;/EndNote&gt;</w:instrText>
      </w:r>
      <w:r w:rsidRPr="009C70B8">
        <w:rPr>
          <w:rFonts w:ascii="Times New Roman" w:eastAsia="DengXian" w:hAnsi="Times New Roman" w:cs="Times New Roman"/>
          <w:color w:val="EE0000"/>
          <w:sz w:val="22"/>
          <w14:ligatures w14:val="standardContextual"/>
        </w:rPr>
        <w:fldChar w:fldCharType="separate"/>
      </w:r>
      <w:r w:rsidRPr="009C70B8">
        <w:rPr>
          <w:rFonts w:ascii="Times New Roman" w:eastAsia="DengXian" w:hAnsi="Times New Roman" w:cs="Times New Roman"/>
          <w:noProof/>
          <w:color w:val="EE0000"/>
          <w:sz w:val="22"/>
          <w:vertAlign w:val="superscript"/>
          <w14:ligatures w14:val="standardContextual"/>
        </w:rPr>
        <w:t>1</w:t>
      </w:r>
      <w:r w:rsidRPr="009C70B8">
        <w:rPr>
          <w:rFonts w:ascii="Times New Roman" w:eastAsia="DengXian" w:hAnsi="Times New Roman" w:cs="Times New Roman"/>
          <w:color w:val="EE0000"/>
          <w:sz w:val="22"/>
          <w14:ligatures w14:val="standardContextual"/>
        </w:rPr>
        <w:fldChar w:fldCharType="end"/>
      </w:r>
    </w:p>
    <w:p w14:paraId="400269C0" w14:textId="77777777" w:rsidR="00123363" w:rsidRPr="00A12EAF" w:rsidRDefault="00123363" w:rsidP="00123363">
      <w:pPr>
        <w:spacing w:after="160"/>
        <w:rPr>
          <w:rFonts w:ascii="Times New Roman" w:eastAsia="DengXian" w:hAnsi="Times New Roman" w:cs="Times New Roman"/>
          <w:b/>
          <w:bCs/>
          <w:sz w:val="22"/>
          <w14:ligatures w14:val="standardContextual"/>
        </w:rPr>
      </w:pPr>
      <w:r w:rsidRPr="00A12EAF">
        <w:rPr>
          <w:rFonts w:ascii="Times New Roman" w:eastAsia="DengXian" w:hAnsi="Times New Roman" w:cs="Times New Roman" w:hint="eastAsia"/>
          <w:b/>
          <w:bCs/>
          <w:sz w:val="22"/>
          <w14:ligatures w14:val="standardContextual"/>
        </w:rPr>
        <w:t>1.</w:t>
      </w:r>
      <w:r>
        <w:rPr>
          <w:rFonts w:ascii="Times New Roman" w:eastAsia="DengXian" w:hAnsi="Times New Roman" w:cs="Times New Roman" w:hint="eastAsia"/>
          <w:b/>
          <w:bCs/>
          <w:sz w:val="22"/>
          <w14:ligatures w14:val="standardContextual"/>
        </w:rPr>
        <w:t>4</w:t>
      </w:r>
      <w:r w:rsidRPr="00A12EAF">
        <w:rPr>
          <w:rFonts w:ascii="Times New Roman" w:eastAsia="DengXian" w:hAnsi="Times New Roman" w:cs="Times New Roman" w:hint="eastAsia"/>
          <w:b/>
          <w:bCs/>
          <w:sz w:val="22"/>
          <w14:ligatures w14:val="standardContextual"/>
        </w:rPr>
        <w:t xml:space="preserve"> Isolation of primary neutrophils</w:t>
      </w:r>
    </w:p>
    <w:p w14:paraId="379FBF45" w14:textId="77777777" w:rsidR="00123363" w:rsidRPr="00A12EAF" w:rsidRDefault="00123363" w:rsidP="00123363">
      <w:pPr>
        <w:rPr>
          <w:rFonts w:ascii="Times New Roman" w:eastAsia="DengXian" w:hAnsi="Times New Roman" w:cs="Times New Roman"/>
          <w:sz w:val="22"/>
          <w14:ligatures w14:val="standardContextual"/>
        </w:rPr>
      </w:pPr>
      <w:r w:rsidRPr="00A12EAF">
        <w:rPr>
          <w:rFonts w:ascii="Times New Roman" w:eastAsia="DengXian" w:hAnsi="Times New Roman" w:cs="Times New Roman" w:hint="eastAsia"/>
          <w:sz w:val="22"/>
          <w14:ligatures w14:val="standardContextual"/>
        </w:rPr>
        <w:t xml:space="preserve">  </w:t>
      </w:r>
      <w:r w:rsidRPr="00A12EAF">
        <w:rPr>
          <w:rFonts w:ascii="Times New Roman" w:eastAsia="DengXian" w:hAnsi="Times New Roman" w:cs="Times New Roman"/>
          <w:sz w:val="22"/>
          <w14:ligatures w14:val="standardContextual"/>
        </w:rPr>
        <w:t>Peripheral venous blood was collected from healthy donors. Primary human neutrophils were isolated using the Human Neutrophils Separation Kit (Solarbio, P9040) according to the manufacturer’s instructions. Primary murine neutrophils were isolated from C57BL/6J mice using the Mouse Neutrophil Negative Selection Kit (MedChemExpress, HY-K0350) according to the manufacturer’s instructions. Primary neutrophils were cultured in complete 1640 medium. In order to activate neutrophils, primary neutrophils were treated with 500ng/ml LPS for 4 hours. Activation of neutrophils was assessed by flow cytometry for reactive oxygen species (ROS) and for the expression of pro-inflammatory cytokines. </w:t>
      </w:r>
    </w:p>
    <w:p w14:paraId="06798FB7" w14:textId="77777777" w:rsidR="00123363" w:rsidRPr="00A12EAF" w:rsidRDefault="00123363" w:rsidP="00123363">
      <w:pPr>
        <w:spacing w:after="160"/>
        <w:rPr>
          <w:rFonts w:ascii="Times New Roman" w:eastAsia="DengXian" w:hAnsi="Times New Roman" w:cs="Times New Roman"/>
          <w:b/>
          <w:bCs/>
          <w:sz w:val="22"/>
          <w14:ligatures w14:val="standardContextual"/>
        </w:rPr>
      </w:pPr>
      <w:bookmarkStart w:id="0" w:name="_Hlk218798760"/>
      <w:r w:rsidRPr="00A12EAF">
        <w:rPr>
          <w:rFonts w:ascii="Times New Roman" w:eastAsia="DengXian" w:hAnsi="Times New Roman" w:cs="Times New Roman" w:hint="eastAsia"/>
          <w:b/>
          <w:bCs/>
          <w:sz w:val="22"/>
          <w14:ligatures w14:val="standardContextual"/>
        </w:rPr>
        <w:t>1.</w:t>
      </w:r>
      <w:r>
        <w:rPr>
          <w:rFonts w:ascii="Times New Roman" w:eastAsia="DengXian" w:hAnsi="Times New Roman" w:cs="Times New Roman" w:hint="eastAsia"/>
          <w:b/>
          <w:bCs/>
          <w:sz w:val="22"/>
          <w14:ligatures w14:val="standardContextual"/>
        </w:rPr>
        <w:t>5</w:t>
      </w:r>
      <w:r w:rsidRPr="00A12EAF">
        <w:rPr>
          <w:rFonts w:ascii="Times New Roman" w:eastAsia="DengXian" w:hAnsi="Times New Roman" w:cs="Times New Roman" w:hint="eastAsia"/>
          <w:b/>
          <w:bCs/>
          <w:sz w:val="22"/>
          <w14:ligatures w14:val="standardContextual"/>
        </w:rPr>
        <w:t xml:space="preserve"> Western blot</w:t>
      </w:r>
      <w:bookmarkEnd w:id="0"/>
      <w:r w:rsidRPr="00A12EAF">
        <w:rPr>
          <w:rFonts w:ascii="Times New Roman" w:eastAsia="DengXian" w:hAnsi="Times New Roman" w:cs="Times New Roman" w:hint="eastAsia"/>
          <w:b/>
          <w:bCs/>
          <w:sz w:val="22"/>
          <w14:ligatures w14:val="standardContextual"/>
        </w:rPr>
        <w:t xml:space="preserve"> analysis</w:t>
      </w:r>
    </w:p>
    <w:p w14:paraId="008B0433" w14:textId="77777777" w:rsidR="00123363" w:rsidRPr="00A12EAF" w:rsidRDefault="00123363" w:rsidP="00123363">
      <w:pPr>
        <w:spacing w:after="160"/>
        <w:ind w:firstLineChars="100" w:firstLine="220"/>
        <w:rPr>
          <w:rFonts w:ascii="Times New Roman" w:eastAsia="DengXian" w:hAnsi="Times New Roman" w:cs="Times New Roman"/>
          <w:sz w:val="22"/>
          <w14:ligatures w14:val="standardContextual"/>
        </w:rPr>
      </w:pPr>
      <w:r w:rsidRPr="009C70B8">
        <w:rPr>
          <w:rFonts w:ascii="Times New Roman" w:eastAsia="DengXian" w:hAnsi="Times New Roman" w:cs="Times New Roman" w:hint="eastAsia"/>
          <w:color w:val="EE0000"/>
          <w:sz w:val="22"/>
          <w14:ligatures w14:val="standardContextual"/>
        </w:rPr>
        <w:t>As previously published methods for Western Blot.</w:t>
      </w:r>
      <w:r w:rsidRPr="009C70B8">
        <w:rPr>
          <w:rFonts w:ascii="Times New Roman" w:eastAsia="DengXian" w:hAnsi="Times New Roman" w:cs="Times New Roman"/>
          <w:color w:val="EE0000"/>
          <w:sz w:val="22"/>
          <w14:ligatures w14:val="standardContextual"/>
        </w:rPr>
        <w:fldChar w:fldCharType="begin"/>
      </w:r>
      <w:r w:rsidRPr="009C70B8">
        <w:rPr>
          <w:rFonts w:ascii="Times New Roman" w:eastAsia="DengXian" w:hAnsi="Times New Roman" w:cs="Times New Roman"/>
          <w:color w:val="EE0000"/>
          <w:sz w:val="22"/>
          <w14:ligatures w14:val="standardContextual"/>
        </w:rPr>
        <w:instrText xml:space="preserve"> ADDIN EN.CITE &lt;EndNote&gt;&lt;Cite&gt;&lt;Author&gt;Ke&lt;/Author&gt;&lt;Year&gt;2024&lt;/Year&gt;&lt;RecNum&gt;61&lt;/RecNum&gt;&lt;DisplayText&gt;&lt;style face="superscript"&gt;2&lt;/style&gt;&lt;/DisplayText&gt;&lt;record&gt;&lt;rec-number&gt;61&lt;/rec-number&gt;&lt;foreign-keys&gt;&lt;key app="EN" db-id="swzzxre2k5a55ae2sr75wfxavwfx2t5ve9f9" timestamp="1779152404"&gt;61&lt;/key&gt;&lt;/foreign-keys&gt;&lt;ref-type name="Journal Article"&gt;17&lt;/ref-type&gt;&lt;contributors&gt;&lt;authors&gt;&lt;author&gt;Ke, Ziliang&lt;/author&gt;&lt;author&gt;Huang, Yibo&lt;/author&gt;&lt;author&gt;Xu, Jun&lt;/author&gt;&lt;author&gt;Liu, Yun&lt;/author&gt;&lt;author&gt;Zhang, Yu&lt;/author&gt;&lt;author&gt;W</w:instrText>
      </w:r>
      <w:r w:rsidRPr="009C70B8">
        <w:rPr>
          <w:rFonts w:ascii="Times New Roman" w:eastAsia="DengXian" w:hAnsi="Times New Roman" w:cs="Times New Roman" w:hint="eastAsia"/>
          <w:color w:val="EE0000"/>
          <w:sz w:val="22"/>
          <w14:ligatures w14:val="standardContextual"/>
        </w:rPr>
        <w:instrText>ang, Yang&lt;/author&gt;&lt;author&gt;Zhang, Yifan&lt;/author&gt;&lt;author&gt;Liu, Yulan&lt;/author&gt;&lt;/authors&gt;&lt;/contributors&gt;&lt;titles&gt;&lt;title&gt;Escherichia coli NF73</w:instrText>
      </w:r>
      <w:r w:rsidRPr="009C70B8">
        <w:rPr>
          <w:rFonts w:ascii="Times New Roman" w:eastAsia="DengXian" w:hAnsi="Times New Roman" w:cs="Times New Roman" w:hint="eastAsia"/>
          <w:color w:val="EE0000"/>
          <w:sz w:val="22"/>
          <w14:ligatures w14:val="standardContextual"/>
        </w:rPr>
        <w:instrText>‐</w:instrText>
      </w:r>
      <w:r w:rsidRPr="009C70B8">
        <w:rPr>
          <w:rFonts w:ascii="Times New Roman" w:eastAsia="DengXian" w:hAnsi="Times New Roman" w:cs="Times New Roman" w:hint="eastAsia"/>
          <w:color w:val="EE0000"/>
          <w:sz w:val="22"/>
          <w14:ligatures w14:val="standardContextual"/>
        </w:rPr>
        <w:instrText>1 disrupts the gut</w:instrText>
      </w:r>
      <w:r w:rsidRPr="009C70B8">
        <w:rPr>
          <w:rFonts w:ascii="Times New Roman" w:eastAsia="DengXian" w:hAnsi="Times New Roman" w:cs="Times New Roman" w:hint="eastAsia"/>
          <w:color w:val="EE0000"/>
          <w:sz w:val="22"/>
          <w14:ligatures w14:val="standardContextual"/>
        </w:rPr>
        <w:instrText>–</w:instrText>
      </w:r>
      <w:r w:rsidRPr="009C70B8">
        <w:rPr>
          <w:rFonts w:ascii="Times New Roman" w:eastAsia="DengXian" w:hAnsi="Times New Roman" w:cs="Times New Roman" w:hint="eastAsia"/>
          <w:color w:val="EE0000"/>
          <w:sz w:val="22"/>
          <w14:ligatures w14:val="standardContextual"/>
        </w:rPr>
        <w:instrText>vascular barrier and aggravates high</w:instrText>
      </w:r>
      <w:r w:rsidRPr="009C70B8">
        <w:rPr>
          <w:rFonts w:ascii="Times New Roman" w:eastAsia="DengXian" w:hAnsi="Times New Roman" w:cs="Times New Roman" w:hint="eastAsia"/>
          <w:color w:val="EE0000"/>
          <w:sz w:val="22"/>
          <w14:ligatures w14:val="standardContextual"/>
        </w:rPr>
        <w:instrText>‐</w:instrText>
      </w:r>
      <w:r w:rsidRPr="009C70B8">
        <w:rPr>
          <w:rFonts w:ascii="Times New Roman" w:eastAsia="DengXian" w:hAnsi="Times New Roman" w:cs="Times New Roman" w:hint="eastAsia"/>
          <w:color w:val="EE0000"/>
          <w:sz w:val="22"/>
          <w14:ligatures w14:val="standardContextual"/>
        </w:rPr>
        <w:instrText>fat diet</w:instrText>
      </w:r>
      <w:r w:rsidRPr="009C70B8">
        <w:rPr>
          <w:rFonts w:ascii="Times New Roman" w:eastAsia="DengXian" w:hAnsi="Times New Roman" w:cs="Times New Roman" w:hint="eastAsia"/>
          <w:color w:val="EE0000"/>
          <w:sz w:val="22"/>
          <w14:ligatures w14:val="standardContextual"/>
        </w:rPr>
        <w:instrText>‐</w:instrText>
      </w:r>
      <w:r w:rsidRPr="009C70B8">
        <w:rPr>
          <w:rFonts w:ascii="Times New Roman" w:eastAsia="DengXian" w:hAnsi="Times New Roman" w:cs="Times New Roman" w:hint="eastAsia"/>
          <w:color w:val="EE0000"/>
          <w:sz w:val="22"/>
          <w14:ligatures w14:val="standardContextual"/>
        </w:rPr>
        <w:instrText>induced fatty liver disease via inhibiting Wnt/</w:instrText>
      </w:r>
      <w:r w:rsidRPr="009C70B8">
        <w:rPr>
          <w:rFonts w:ascii="Times New Roman" w:eastAsia="DengXian" w:hAnsi="Times New Roman" w:cs="Times New Roman" w:hint="eastAsia"/>
          <w:color w:val="EE0000"/>
          <w:sz w:val="22"/>
          <w14:ligatures w14:val="standardContextual"/>
        </w:rPr>
        <w:instrText>β‐</w:instrText>
      </w:r>
      <w:r w:rsidRPr="009C70B8">
        <w:rPr>
          <w:rFonts w:ascii="Times New Roman" w:eastAsia="DengXian" w:hAnsi="Times New Roman" w:cs="Times New Roman" w:hint="eastAsia"/>
          <w:color w:val="EE0000"/>
          <w:sz w:val="22"/>
          <w14:ligatures w14:val="standardContextual"/>
        </w:rPr>
        <w:instrText>caten</w:instrText>
      </w:r>
      <w:r w:rsidRPr="009C70B8">
        <w:rPr>
          <w:rFonts w:ascii="Times New Roman" w:eastAsia="DengXian" w:hAnsi="Times New Roman" w:cs="Times New Roman"/>
          <w:color w:val="EE0000"/>
          <w:sz w:val="22"/>
          <w14:ligatures w14:val="standardContextual"/>
        </w:rPr>
        <w:instrText>in signalling pathway&lt;/title&gt;&lt;secondary-title&gt;Liver International&lt;/secondary-title&gt;&lt;/titles&gt;&lt;periodical&gt;&lt;full-title&gt;Liver International&lt;/full-title&gt;&lt;/periodical&gt;&lt;pages&gt;776-790&lt;/pages&gt;&lt;volume&gt;44&lt;/volume&gt;&lt;number&gt;3&lt;/number&gt;&lt;section&gt;776&lt;/section&gt;&lt;dates&gt;&lt;year&gt;2024&lt;/year&gt;&lt;/dates&gt;&lt;isbn&gt;1478-3223&amp;#xD;1478-3231&lt;/isbn&gt;&lt;urls&gt;&lt;/urls&gt;&lt;electronic-resource-num&gt;10.1111/liv.15823&lt;/electronic-resource-num&gt;&lt;/record&gt;&lt;/Cite&gt;&lt;/EndNote&gt;</w:instrText>
      </w:r>
      <w:r w:rsidRPr="009C70B8">
        <w:rPr>
          <w:rFonts w:ascii="Times New Roman" w:eastAsia="DengXian" w:hAnsi="Times New Roman" w:cs="Times New Roman"/>
          <w:color w:val="EE0000"/>
          <w:sz w:val="22"/>
          <w14:ligatures w14:val="standardContextual"/>
        </w:rPr>
        <w:fldChar w:fldCharType="separate"/>
      </w:r>
      <w:r w:rsidRPr="009C70B8">
        <w:rPr>
          <w:rFonts w:ascii="Times New Roman" w:eastAsia="DengXian" w:hAnsi="Times New Roman" w:cs="Times New Roman"/>
          <w:noProof/>
          <w:color w:val="EE0000"/>
          <w:sz w:val="22"/>
          <w:vertAlign w:val="superscript"/>
          <w14:ligatures w14:val="standardContextual"/>
        </w:rPr>
        <w:t>2</w:t>
      </w:r>
      <w:r w:rsidRPr="009C70B8">
        <w:rPr>
          <w:rFonts w:ascii="Times New Roman" w:eastAsia="DengXian" w:hAnsi="Times New Roman" w:cs="Times New Roman"/>
          <w:color w:val="EE0000"/>
          <w:sz w:val="22"/>
          <w14:ligatures w14:val="standardContextual"/>
        </w:rPr>
        <w:fldChar w:fldCharType="end"/>
      </w:r>
      <w:r>
        <w:rPr>
          <w:rFonts w:ascii="Times New Roman" w:eastAsia="DengXian" w:hAnsi="Times New Roman" w:cs="Times New Roman" w:hint="eastAsia"/>
          <w:sz w:val="22"/>
          <w14:ligatures w14:val="standardContextual"/>
        </w:rPr>
        <w:t xml:space="preserve"> </w:t>
      </w:r>
      <w:r w:rsidRPr="00A12EAF">
        <w:rPr>
          <w:rFonts w:ascii="Times New Roman" w:eastAsia="DengXian" w:hAnsi="Times New Roman" w:cs="Times New Roman" w:hint="eastAsia"/>
          <w:sz w:val="22"/>
          <w14:ligatures w14:val="standardContextual"/>
        </w:rPr>
        <w:t xml:space="preserve">Total protein samples were extracted using RIPA lysis buffer (ThermoFisher, 89900) containing protease and phosphatase inhibitors (ThermoFisher, 78440). Then samples were separated by 10% SDS-PAGE and transferred onto polyvinylidene difluoride membranes (Millipore, IPVH00010). The membranes were blocked in 5% BSA and incubated overnight with primary antibodies against p38 (Proteintech, 11257-1-AP), Phospho-p38 (Proteintech, 28796-1-AP), ERK1/2 (Proteintech, 13409-1-AP), Phospho-ERK1/2 (Proteintech, 28733-1-AP), JNK (Proteintech, 24164-1-AP), Phospho-JNK (Proteintech, 80024-1-RR), </w:t>
      </w:r>
      <w:r w:rsidRPr="00A12EAF">
        <w:rPr>
          <w:rFonts w:ascii="Times New Roman" w:eastAsia="DengXian" w:hAnsi="Times New Roman" w:cs="Times New Roman" w:hint="eastAsia"/>
          <w:sz w:val="22"/>
          <w14:ligatures w14:val="standardContextual"/>
        </w:rPr>
        <w:t>β</w:t>
      </w:r>
      <w:r w:rsidRPr="00A12EAF">
        <w:rPr>
          <w:rFonts w:ascii="Times New Roman" w:eastAsia="DengXian" w:hAnsi="Times New Roman" w:cs="Times New Roman" w:hint="eastAsia"/>
          <w:sz w:val="22"/>
          <w14:ligatures w14:val="standardContextual"/>
        </w:rPr>
        <w:t xml:space="preserve">-actin (Proteintech, 17565-1-AP). The second antibodies were from ZSGB-Bio (ZB-2301). </w:t>
      </w:r>
      <w:r w:rsidRPr="00A12EAF">
        <w:rPr>
          <w:rFonts w:ascii="Times New Roman" w:eastAsia="DengXian" w:hAnsi="Times New Roman" w:cs="Times New Roman"/>
          <w:sz w:val="22"/>
          <w14:ligatures w14:val="standardContextual"/>
        </w:rPr>
        <w:t>The gray values of the western blot bands were measured using ImageJ</w:t>
      </w:r>
      <w:r w:rsidRPr="00A12EAF">
        <w:rPr>
          <w:rFonts w:ascii="Times New Roman" w:eastAsia="DengXian" w:hAnsi="Times New Roman" w:cs="Times New Roman" w:hint="eastAsia"/>
          <w:sz w:val="22"/>
          <w14:ligatures w14:val="standardContextual"/>
        </w:rPr>
        <w:t>.</w:t>
      </w:r>
    </w:p>
    <w:p w14:paraId="702CCC26" w14:textId="77777777" w:rsidR="00123363" w:rsidRPr="00A12EAF" w:rsidRDefault="00123363" w:rsidP="00123363">
      <w:pPr>
        <w:spacing w:after="160"/>
        <w:rPr>
          <w:rFonts w:ascii="Times New Roman" w:eastAsia="DengXian" w:hAnsi="Times New Roman" w:cs="Times New Roman"/>
          <w:b/>
          <w:bCs/>
          <w:sz w:val="22"/>
          <w14:ligatures w14:val="standardContextual"/>
        </w:rPr>
      </w:pPr>
      <w:r w:rsidRPr="00A12EAF">
        <w:rPr>
          <w:rFonts w:ascii="Times New Roman" w:eastAsia="DengXian" w:hAnsi="Times New Roman" w:cs="Times New Roman" w:hint="eastAsia"/>
          <w:b/>
          <w:bCs/>
          <w:sz w:val="22"/>
          <w14:ligatures w14:val="standardContextual"/>
        </w:rPr>
        <w:t>1.</w:t>
      </w:r>
      <w:r>
        <w:rPr>
          <w:rFonts w:ascii="Times New Roman" w:eastAsia="DengXian" w:hAnsi="Times New Roman" w:cs="Times New Roman" w:hint="eastAsia"/>
          <w:b/>
          <w:bCs/>
          <w:sz w:val="22"/>
          <w14:ligatures w14:val="standardContextual"/>
        </w:rPr>
        <w:t>6</w:t>
      </w:r>
      <w:r w:rsidRPr="00A12EAF">
        <w:rPr>
          <w:rFonts w:ascii="Times New Roman" w:eastAsia="DengXian" w:hAnsi="Times New Roman" w:cs="Times New Roman" w:hint="eastAsia"/>
          <w:b/>
          <w:bCs/>
          <w:sz w:val="22"/>
          <w14:ligatures w14:val="standardContextual"/>
        </w:rPr>
        <w:t xml:space="preserve"> Scanning electron microscopy (SEM)</w:t>
      </w:r>
    </w:p>
    <w:p w14:paraId="01A0D3C8" w14:textId="77777777" w:rsidR="00123363" w:rsidRPr="00A12EAF" w:rsidRDefault="00123363" w:rsidP="00123363">
      <w:pPr>
        <w:ind w:firstLineChars="100" w:firstLine="220"/>
        <w:rPr>
          <w:rFonts w:ascii="Times New Roman" w:eastAsia="DengXian" w:hAnsi="Times New Roman" w:cs="Times New Roman"/>
          <w:sz w:val="22"/>
          <w14:ligatures w14:val="standardContextual"/>
        </w:rPr>
      </w:pPr>
      <w:r w:rsidRPr="009C70B8">
        <w:rPr>
          <w:rFonts w:ascii="Times New Roman" w:eastAsia="DengXian" w:hAnsi="Times New Roman" w:cs="Times New Roman" w:hint="eastAsia"/>
          <w:color w:val="EE0000"/>
          <w:sz w:val="22"/>
          <w14:ligatures w14:val="standardContextual"/>
        </w:rPr>
        <w:t>As previously published methods for</w:t>
      </w:r>
      <w:r w:rsidRPr="009C70B8">
        <w:rPr>
          <w:rFonts w:ascii="Times New Roman" w:eastAsia="DengXian" w:hAnsi="Times New Roman" w:cs="Times New Roman"/>
          <w:color w:val="EE0000"/>
          <w:sz w:val="22"/>
          <w14:ligatures w14:val="standardContextual"/>
        </w:rPr>
        <w:t xml:space="preserve"> </w:t>
      </w:r>
      <w:r w:rsidRPr="009C70B8">
        <w:rPr>
          <w:rFonts w:ascii="Times New Roman" w:eastAsia="DengXian" w:hAnsi="Times New Roman" w:cs="Times New Roman" w:hint="eastAsia"/>
          <w:color w:val="EE0000"/>
          <w:sz w:val="22"/>
          <w14:ligatures w14:val="standardContextual"/>
        </w:rPr>
        <w:t>SEM.</w:t>
      </w:r>
      <w:r w:rsidRPr="009C70B8">
        <w:rPr>
          <w:rFonts w:ascii="Times New Roman" w:eastAsia="DengXian" w:hAnsi="Times New Roman" w:cs="Times New Roman"/>
          <w:color w:val="EE0000"/>
          <w:sz w:val="22"/>
          <w14:ligatures w14:val="standardContextual"/>
        </w:rPr>
        <w:fldChar w:fldCharType="begin"/>
      </w:r>
      <w:r w:rsidRPr="009C70B8">
        <w:rPr>
          <w:rFonts w:ascii="Times New Roman" w:eastAsia="DengXian" w:hAnsi="Times New Roman" w:cs="Times New Roman"/>
          <w:color w:val="EE0000"/>
          <w:sz w:val="22"/>
          <w14:ligatures w14:val="standardContextual"/>
        </w:rPr>
        <w:instrText xml:space="preserve"> ADDIN EN.CITE &lt;EndNote&gt;&lt;Cite&gt;&lt;Author&gt;Wang&lt;/Author&gt;&lt;Year&gt;2021&lt;/Year&gt;&lt;RecNum&gt;18&lt;/RecNum&gt;&lt;DisplayText&gt;&lt;style face="superscript"&gt;1&lt;/style&gt;&lt;/DisplayText&gt;&lt;record&gt;&lt;rec-number&gt;18&lt;/rec-number&gt;&lt;foreign-keys&gt;&lt;key app="EN" db-id="swzzxre2k5a55ae2sr75wfxavwfx2t5ve9f9" timestamp="1758467278"&gt;18&lt;/key&gt;&lt;/foreign-keys&gt;&lt;ref-type name="Journal Article"&gt;17&lt;/ref-type&gt;&lt;contributors&gt;&lt;authors&gt;&lt;author&gt;Wang, Yang&lt;/author&gt;&lt;author&gt;Zhang, Yifan&lt;/author&gt;&lt;author&gt;Liu, Yun&lt;/author&gt;&lt;author&gt;Xu, Jun&lt;/author&gt;&lt;author&gt;Liu, Yulan&lt;/author&gt;&lt;/authors&gt;&lt;/contributors&gt;&lt;titles&gt;&lt;title&gt;Gut–Liver Axis: Liver Sinusoidal Endothelial Cells Function as the Hepatic Barrier in Colitis-Induced Liver Injury&lt;/title&gt;&lt;secondary-title&gt;Frontiers in Cell and Developmental Biology&lt;/secondary-title&gt;&lt;/titles&gt;&lt;periodical&gt;&lt;full-title&gt;Frontiers in Cell and Developmental Biology&lt;/full-title&gt;&lt;/periodical&gt;&lt;volume&gt;9&lt;/volume&gt;&lt;dates&gt;&lt;year&gt;2021&lt;/year&gt;&lt;/dates&gt;&lt;isbn&gt;2296-634X&lt;/isbn&gt;&lt;urls&gt;&lt;/urls&gt;&lt;electronic-resource-num&gt;10.3389/fcell.2021.702890&lt;/electronic-resource-num&gt;&lt;/record&gt;&lt;/Cite&gt;&lt;/EndNote&gt;</w:instrText>
      </w:r>
      <w:r w:rsidRPr="009C70B8">
        <w:rPr>
          <w:rFonts w:ascii="Times New Roman" w:eastAsia="DengXian" w:hAnsi="Times New Roman" w:cs="Times New Roman"/>
          <w:color w:val="EE0000"/>
          <w:sz w:val="22"/>
          <w14:ligatures w14:val="standardContextual"/>
        </w:rPr>
        <w:fldChar w:fldCharType="separate"/>
      </w:r>
      <w:r w:rsidRPr="009C70B8">
        <w:rPr>
          <w:rFonts w:ascii="Times New Roman" w:eastAsia="DengXian" w:hAnsi="Times New Roman" w:cs="Times New Roman"/>
          <w:noProof/>
          <w:color w:val="EE0000"/>
          <w:sz w:val="22"/>
          <w:vertAlign w:val="superscript"/>
          <w14:ligatures w14:val="standardContextual"/>
        </w:rPr>
        <w:t>1</w:t>
      </w:r>
      <w:r w:rsidRPr="009C70B8">
        <w:rPr>
          <w:rFonts w:ascii="Times New Roman" w:eastAsia="DengXian" w:hAnsi="Times New Roman" w:cs="Times New Roman"/>
          <w:color w:val="EE0000"/>
          <w:sz w:val="22"/>
          <w14:ligatures w14:val="standardContextual"/>
        </w:rPr>
        <w:fldChar w:fldCharType="end"/>
      </w:r>
      <w:r w:rsidRPr="00A12EAF">
        <w:rPr>
          <w:rFonts w:ascii="Times New Roman" w:eastAsia="DengXian" w:hAnsi="Times New Roman" w:cs="Times New Roman"/>
          <w:sz w:val="22"/>
          <w14:ligatures w14:val="standardContextual"/>
        </w:rPr>
        <w:t>Mice were anesthetized, and perfusion with HBSS followed by electron microscope fixative buffer (Servicebio, P1126) via the portal vein was performed. Perfusion was stopped once the liver surface became hard and tough. Liver samples were cut into an appropriate size and shape for SEM (JSM-7900F, JEOL) testing. Cells were washed with PBS, fixed in fixative buffer overnight, and then sent for SEM analysis</w:t>
      </w:r>
      <w:r w:rsidRPr="00A12EAF">
        <w:rPr>
          <w:rFonts w:ascii="Times New Roman" w:eastAsia="DengXian" w:hAnsi="Times New Roman" w:cs="Times New Roman" w:hint="eastAsia"/>
          <w:sz w:val="22"/>
          <w14:ligatures w14:val="standardContextual"/>
        </w:rPr>
        <w:t>.</w:t>
      </w:r>
    </w:p>
    <w:p w14:paraId="11E955FB" w14:textId="4BD84E6D" w:rsidR="00123363" w:rsidRPr="00A12EAF" w:rsidRDefault="00D321CC" w:rsidP="00123363">
      <w:pPr>
        <w:spacing w:after="160"/>
        <w:rPr>
          <w:rFonts w:ascii="Times New Roman" w:eastAsia="DengXian" w:hAnsi="Times New Roman" w:cs="Times New Roman"/>
          <w:b/>
          <w:bCs/>
          <w:sz w:val="22"/>
          <w14:ligatures w14:val="standardContextual"/>
        </w:rPr>
      </w:pPr>
      <w:r>
        <w:rPr>
          <w:rFonts w:ascii="Times New Roman" w:eastAsia="DengXian" w:hAnsi="Times New Roman" w:cs="Times New Roman"/>
          <w:b/>
          <w:bCs/>
          <w:sz w:val="22"/>
          <w14:ligatures w14:val="standardContextual"/>
        </w:rPr>
        <w:t xml:space="preserve"> </w:t>
      </w:r>
    </w:p>
    <w:p w14:paraId="2BCE4964" w14:textId="15F3604B" w:rsidR="00B41505" w:rsidRDefault="00B41505" w:rsidP="00123363"/>
    <w:p w14:paraId="761B2664" w14:textId="77777777" w:rsidR="001F6F31" w:rsidRDefault="001F6F31" w:rsidP="00123363"/>
    <w:p w14:paraId="00D61AB7" w14:textId="77777777" w:rsidR="001F6F31" w:rsidRPr="009C70B8" w:rsidRDefault="001F6F31" w:rsidP="001F6F31">
      <w:pPr>
        <w:pStyle w:val="17babae4-54f0-44fa-a444-1068224df0ac"/>
        <w:jc w:val="left"/>
        <w:rPr>
          <w:rFonts w:ascii="Times New Roman" w:hAnsi="Times New Roman"/>
          <w:color w:val="000000" w:themeColor="text1"/>
          <w:sz w:val="24"/>
        </w:rPr>
      </w:pPr>
      <w:r w:rsidRPr="00B813E3">
        <w:rPr>
          <w:rFonts w:ascii="Times New Roman" w:hAnsi="Times New Roman"/>
          <w:color w:val="000000" w:themeColor="text1"/>
          <w:sz w:val="24"/>
        </w:rPr>
        <w:t>References</w:t>
      </w:r>
    </w:p>
    <w:p w14:paraId="30CB891E" w14:textId="77777777" w:rsidR="001F6F31" w:rsidRPr="009C70B8" w:rsidRDefault="001F6F31" w:rsidP="001F6F31">
      <w:pPr>
        <w:pStyle w:val="EndNoteBibliography"/>
        <w:ind w:left="720" w:hanging="720"/>
      </w:pPr>
      <w:r>
        <w:rPr>
          <w:rFonts w:ascii="Times New Roman" w:hAnsi="Times New Roman" w:cs="Times New Roman"/>
          <w:sz w:val="22"/>
        </w:rPr>
        <w:fldChar w:fldCharType="begin"/>
      </w:r>
      <w:r>
        <w:rPr>
          <w:rFonts w:ascii="Times New Roman" w:hAnsi="Times New Roman" w:cs="Times New Roman"/>
          <w:sz w:val="22"/>
        </w:rPr>
        <w:instrText xml:space="preserve"> ADDIN EN.REFLIST </w:instrText>
      </w:r>
      <w:r>
        <w:rPr>
          <w:rFonts w:ascii="Times New Roman" w:hAnsi="Times New Roman" w:cs="Times New Roman"/>
          <w:sz w:val="22"/>
        </w:rPr>
        <w:fldChar w:fldCharType="separate"/>
      </w:r>
      <w:r w:rsidRPr="009C70B8">
        <w:t>[1] Wang Y, Zhang Y, Liu Y, Xu J, Liu Y. Gut–Liver Axis: Liver Sinusoidal Endothelial Cells Function as the Hepatic Barrier in Colitis-Induced Liver Injury. Frontiers in Cell and Developmental Biology 2021;9</w:t>
      </w:r>
    </w:p>
    <w:p w14:paraId="0B5804F1" w14:textId="77777777" w:rsidR="001F6F31" w:rsidRPr="009C70B8" w:rsidRDefault="001F6F31" w:rsidP="001F6F31">
      <w:pPr>
        <w:pStyle w:val="EndNoteBibliography"/>
        <w:ind w:left="720" w:hanging="720"/>
      </w:pPr>
      <w:r w:rsidRPr="009C70B8">
        <w:t>[2] Ke Z, Huang Y, Xu J, Liu Y, Zhang Y, Wang Y</w:t>
      </w:r>
      <w:r w:rsidRPr="009C70B8">
        <w:rPr>
          <w:i/>
        </w:rPr>
        <w:t>, et al.</w:t>
      </w:r>
      <w:r w:rsidRPr="009C70B8">
        <w:t xml:space="preserve"> Escherichia coli NF73‐1 disrupts the gut–vascular barrier and aggravates high‐fat diet‐induced fatty liver disease via inhibiting </w:t>
      </w:r>
      <w:r w:rsidRPr="009C70B8">
        <w:lastRenderedPageBreak/>
        <w:t>Wnt/β‐catenin signalling pathway. Liver International 2024;44(3):776-790.</w:t>
      </w:r>
    </w:p>
    <w:p w14:paraId="3B212004" w14:textId="4AC243A4" w:rsidR="001F6F31" w:rsidRPr="00123363" w:rsidRDefault="001F6F31" w:rsidP="001F6F31">
      <w:r>
        <w:rPr>
          <w:rFonts w:ascii="Times New Roman" w:hAnsi="Times New Roman" w:cs="Times New Roman"/>
          <w:sz w:val="22"/>
        </w:rPr>
        <w:fldChar w:fldCharType="end"/>
      </w:r>
    </w:p>
    <w:sectPr w:rsidR="001F6F31" w:rsidRPr="001233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3566" w14:textId="77777777" w:rsidR="006A20EC" w:rsidRDefault="006A20EC" w:rsidP="003C375C">
      <w:r>
        <w:separator/>
      </w:r>
    </w:p>
  </w:endnote>
  <w:endnote w:type="continuationSeparator" w:id="0">
    <w:p w14:paraId="58ACB67C" w14:textId="77777777" w:rsidR="006A20EC" w:rsidRDefault="006A20EC" w:rsidP="003C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imSun">
    <w:altName w:val="???¡ì??"/>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15E38" w14:textId="77777777" w:rsidR="006A20EC" w:rsidRDefault="006A20EC" w:rsidP="003C375C">
      <w:r>
        <w:separator/>
      </w:r>
    </w:p>
  </w:footnote>
  <w:footnote w:type="continuationSeparator" w:id="0">
    <w:p w14:paraId="5480BB8D" w14:textId="77777777" w:rsidR="006A20EC" w:rsidRDefault="006A20EC" w:rsidP="003C3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CTH Copy&lt;/Style&gt;&lt;LeftDelim&gt;{&lt;/LeftDelim&gt;&lt;RightDelim&gt;}&lt;/RightDelim&gt;&lt;FontName&gt;等线 Light&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zzxre2k5a55ae2sr75wfxavwfx2t5ve9f9&quot;&gt;My EndNote Library&lt;record-ids&gt;&lt;item&gt;18&lt;/item&gt;&lt;item&gt;61&lt;/item&gt;&lt;/record-ids&gt;&lt;/item&gt;&lt;/Libraries&gt;"/>
  </w:docVars>
  <w:rsids>
    <w:rsidRoot w:val="00C5654E"/>
    <w:rsid w:val="00031D12"/>
    <w:rsid w:val="0003635E"/>
    <w:rsid w:val="00085063"/>
    <w:rsid w:val="000B415C"/>
    <w:rsid w:val="000B55EF"/>
    <w:rsid w:val="00123363"/>
    <w:rsid w:val="00163F18"/>
    <w:rsid w:val="001A2E94"/>
    <w:rsid w:val="001A7880"/>
    <w:rsid w:val="001F6F31"/>
    <w:rsid w:val="00215A58"/>
    <w:rsid w:val="00266EF2"/>
    <w:rsid w:val="0029349C"/>
    <w:rsid w:val="002F34AB"/>
    <w:rsid w:val="003C375C"/>
    <w:rsid w:val="003E447B"/>
    <w:rsid w:val="00416E94"/>
    <w:rsid w:val="00453771"/>
    <w:rsid w:val="00454C22"/>
    <w:rsid w:val="00457475"/>
    <w:rsid w:val="004F4644"/>
    <w:rsid w:val="0051283B"/>
    <w:rsid w:val="00521713"/>
    <w:rsid w:val="00546915"/>
    <w:rsid w:val="005476B6"/>
    <w:rsid w:val="00591C84"/>
    <w:rsid w:val="005B2D23"/>
    <w:rsid w:val="00664179"/>
    <w:rsid w:val="006A20EC"/>
    <w:rsid w:val="006E2C4A"/>
    <w:rsid w:val="007A118C"/>
    <w:rsid w:val="007B0B04"/>
    <w:rsid w:val="0087316E"/>
    <w:rsid w:val="008776FE"/>
    <w:rsid w:val="00894868"/>
    <w:rsid w:val="008E6725"/>
    <w:rsid w:val="00910106"/>
    <w:rsid w:val="00945F94"/>
    <w:rsid w:val="009C70B8"/>
    <w:rsid w:val="009E3555"/>
    <w:rsid w:val="00A12EAF"/>
    <w:rsid w:val="00A25AB3"/>
    <w:rsid w:val="00A30D0C"/>
    <w:rsid w:val="00A61663"/>
    <w:rsid w:val="00A91B52"/>
    <w:rsid w:val="00A9729A"/>
    <w:rsid w:val="00AA2781"/>
    <w:rsid w:val="00AA30CC"/>
    <w:rsid w:val="00AE4735"/>
    <w:rsid w:val="00B41505"/>
    <w:rsid w:val="00BA1F34"/>
    <w:rsid w:val="00BF0D42"/>
    <w:rsid w:val="00C03699"/>
    <w:rsid w:val="00C41558"/>
    <w:rsid w:val="00C51A04"/>
    <w:rsid w:val="00C5654E"/>
    <w:rsid w:val="00CA78E6"/>
    <w:rsid w:val="00CD7EE7"/>
    <w:rsid w:val="00D321CC"/>
    <w:rsid w:val="00D33859"/>
    <w:rsid w:val="00D70AAF"/>
    <w:rsid w:val="00D76F0C"/>
    <w:rsid w:val="00DA0C30"/>
    <w:rsid w:val="00DB148C"/>
    <w:rsid w:val="00DC143C"/>
    <w:rsid w:val="00DE4D3E"/>
    <w:rsid w:val="00E71A4E"/>
    <w:rsid w:val="00E80FDA"/>
    <w:rsid w:val="00E8702D"/>
    <w:rsid w:val="00EB1504"/>
    <w:rsid w:val="00EB53A4"/>
    <w:rsid w:val="00F201DE"/>
    <w:rsid w:val="00F620F5"/>
    <w:rsid w:val="00FE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378E8"/>
  <w15:chartTrackingRefBased/>
  <w15:docId w15:val="{AAB6789C-6FDA-4AAD-A632-441A7023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C5654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C5654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C5654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C5654E"/>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C5654E"/>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5654E"/>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C5654E"/>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C5654E"/>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C5654E"/>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54E"/>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C5654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C5654E"/>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C5654E"/>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C5654E"/>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C5654E"/>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C5654E"/>
    <w:rPr>
      <w:rFonts w:cstheme="majorBidi"/>
      <w:b/>
      <w:bCs/>
      <w:color w:val="595959" w:themeColor="text1" w:themeTint="A6"/>
    </w:rPr>
  </w:style>
  <w:style w:type="character" w:customStyle="1" w:styleId="Heading8Char">
    <w:name w:val="Heading 8 Char"/>
    <w:basedOn w:val="DefaultParagraphFont"/>
    <w:link w:val="Heading8"/>
    <w:uiPriority w:val="9"/>
    <w:semiHidden/>
    <w:rsid w:val="00C5654E"/>
    <w:rPr>
      <w:rFonts w:cstheme="majorBidi"/>
      <w:color w:val="595959" w:themeColor="text1" w:themeTint="A6"/>
    </w:rPr>
  </w:style>
  <w:style w:type="character" w:customStyle="1" w:styleId="Heading9Char">
    <w:name w:val="Heading 9 Char"/>
    <w:basedOn w:val="DefaultParagraphFont"/>
    <w:link w:val="Heading9"/>
    <w:uiPriority w:val="9"/>
    <w:semiHidden/>
    <w:rsid w:val="00C5654E"/>
    <w:rPr>
      <w:rFonts w:eastAsiaTheme="majorEastAsia" w:cstheme="majorBidi"/>
      <w:color w:val="595959" w:themeColor="text1" w:themeTint="A6"/>
    </w:rPr>
  </w:style>
  <w:style w:type="paragraph" w:styleId="Title">
    <w:name w:val="Title"/>
    <w:basedOn w:val="Normal"/>
    <w:next w:val="Normal"/>
    <w:link w:val="TitleChar"/>
    <w:uiPriority w:val="10"/>
    <w:qFormat/>
    <w:rsid w:val="00C5654E"/>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5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54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C565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654E"/>
    <w:rPr>
      <w:i/>
      <w:iCs/>
      <w:color w:val="404040" w:themeColor="text1" w:themeTint="BF"/>
    </w:rPr>
  </w:style>
  <w:style w:type="paragraph" w:styleId="ListParagraph">
    <w:name w:val="List Paragraph"/>
    <w:basedOn w:val="Normal"/>
    <w:uiPriority w:val="34"/>
    <w:qFormat/>
    <w:rsid w:val="00C5654E"/>
    <w:pPr>
      <w:ind w:left="720"/>
      <w:contextualSpacing/>
    </w:pPr>
  </w:style>
  <w:style w:type="character" w:styleId="IntenseEmphasis">
    <w:name w:val="Intense Emphasis"/>
    <w:basedOn w:val="DefaultParagraphFont"/>
    <w:uiPriority w:val="21"/>
    <w:qFormat/>
    <w:rsid w:val="00C5654E"/>
    <w:rPr>
      <w:i/>
      <w:iCs/>
      <w:color w:val="0F4761" w:themeColor="accent1" w:themeShade="BF"/>
    </w:rPr>
  </w:style>
  <w:style w:type="paragraph" w:styleId="IntenseQuote">
    <w:name w:val="Intense Quote"/>
    <w:basedOn w:val="Normal"/>
    <w:next w:val="Normal"/>
    <w:link w:val="IntenseQuoteChar"/>
    <w:uiPriority w:val="30"/>
    <w:qFormat/>
    <w:rsid w:val="00C56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54E"/>
    <w:rPr>
      <w:i/>
      <w:iCs/>
      <w:color w:val="0F4761" w:themeColor="accent1" w:themeShade="BF"/>
    </w:rPr>
  </w:style>
  <w:style w:type="character" w:styleId="IntenseReference">
    <w:name w:val="Intense Reference"/>
    <w:basedOn w:val="DefaultParagraphFont"/>
    <w:uiPriority w:val="32"/>
    <w:qFormat/>
    <w:rsid w:val="00C5654E"/>
    <w:rPr>
      <w:b/>
      <w:bCs/>
      <w:smallCaps/>
      <w:color w:val="0F4761" w:themeColor="accent1" w:themeShade="BF"/>
      <w:spacing w:val="5"/>
    </w:rPr>
  </w:style>
  <w:style w:type="paragraph" w:styleId="Caption">
    <w:name w:val="caption"/>
    <w:basedOn w:val="Normal"/>
    <w:next w:val="Normal"/>
    <w:uiPriority w:val="35"/>
    <w:unhideWhenUsed/>
    <w:qFormat/>
    <w:rsid w:val="00894868"/>
    <w:rPr>
      <w:rFonts w:asciiTheme="majorHAnsi" w:eastAsia="SimHei" w:hAnsiTheme="majorHAnsi" w:cstheme="majorBidi"/>
      <w:sz w:val="20"/>
      <w:szCs w:val="20"/>
    </w:rPr>
  </w:style>
  <w:style w:type="table" w:styleId="TableGrid">
    <w:name w:val="Table Grid"/>
    <w:basedOn w:val="TableNormal"/>
    <w:uiPriority w:val="39"/>
    <w:qFormat/>
    <w:rsid w:val="00EB1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375C"/>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C375C"/>
    <w:rPr>
      <w:sz w:val="18"/>
      <w:szCs w:val="18"/>
    </w:rPr>
  </w:style>
  <w:style w:type="paragraph" w:styleId="Footer">
    <w:name w:val="footer"/>
    <w:basedOn w:val="Normal"/>
    <w:link w:val="FooterChar"/>
    <w:uiPriority w:val="99"/>
    <w:unhideWhenUsed/>
    <w:rsid w:val="003C375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C375C"/>
    <w:rPr>
      <w:sz w:val="18"/>
      <w:szCs w:val="18"/>
    </w:rPr>
  </w:style>
  <w:style w:type="paragraph" w:customStyle="1" w:styleId="17babae4-54f0-44fa-a444-1068224df0ac">
    <w:name w:val="17babae4-54f0-44fa-a444-1068224df0ac"/>
    <w:basedOn w:val="Title"/>
    <w:next w:val="acbfdd8b-e11b-4d36-88ff-6049b138f862"/>
    <w:link w:val="17babae4-54f0-44fa-a444-1068224df0ac0"/>
    <w:rsid w:val="00266EF2"/>
    <w:pPr>
      <w:adjustRightInd w:val="0"/>
      <w:spacing w:after="0" w:line="288" w:lineRule="auto"/>
      <w:outlineLvl w:val="0"/>
    </w:pPr>
    <w:rPr>
      <w:rFonts w:ascii="Microsoft YaHei" w:eastAsia="Microsoft YaHei" w:hAnsi="Microsoft YaHei" w:cs="Times New Roman"/>
      <w:b/>
      <w:bCs/>
      <w:color w:val="000000"/>
      <w:sz w:val="40"/>
      <w:szCs w:val="28"/>
      <w14:ligatures w14:val="standardContextual"/>
    </w:rPr>
  </w:style>
  <w:style w:type="character" w:customStyle="1" w:styleId="17babae4-54f0-44fa-a444-1068224df0ac0">
    <w:name w:val="17babae4-54f0-44fa-a444-1068224df0ac 字符"/>
    <w:basedOn w:val="DefaultParagraphFont"/>
    <w:link w:val="17babae4-54f0-44fa-a444-1068224df0ac"/>
    <w:rsid w:val="00266EF2"/>
    <w:rPr>
      <w:rFonts w:ascii="Microsoft YaHei" w:eastAsia="Microsoft YaHei" w:hAnsi="Microsoft YaHei" w:cs="Times New Roman"/>
      <w:b/>
      <w:bCs/>
      <w:color w:val="000000"/>
      <w:spacing w:val="-10"/>
      <w:kern w:val="28"/>
      <w:sz w:val="40"/>
      <w:szCs w:val="28"/>
      <w14:ligatures w14:val="standardContextual"/>
    </w:rPr>
  </w:style>
  <w:style w:type="paragraph" w:customStyle="1" w:styleId="acbfdd8b-e11b-4d36-88ff-6049b138f862">
    <w:name w:val="acbfdd8b-e11b-4d36-88ff-6049b138f862"/>
    <w:basedOn w:val="Normal"/>
    <w:link w:val="acbfdd8b-e11b-4d36-88ff-6049b138f8620"/>
    <w:rsid w:val="00266EF2"/>
    <w:pPr>
      <w:adjustRightInd w:val="0"/>
      <w:spacing w:line="288" w:lineRule="auto"/>
      <w:jc w:val="left"/>
    </w:pPr>
    <w:rPr>
      <w:rFonts w:ascii="Microsoft YaHei" w:eastAsia="Microsoft YaHei" w:hAnsi="Microsoft YaHei" w:cs="Times New Roman"/>
      <w:bCs/>
      <w:color w:val="000000"/>
      <w:sz w:val="22"/>
      <w:szCs w:val="28"/>
      <w14:ligatures w14:val="standardContextual"/>
    </w:rPr>
  </w:style>
  <w:style w:type="character" w:customStyle="1" w:styleId="acbfdd8b-e11b-4d36-88ff-6049b138f8620">
    <w:name w:val="acbfdd8b-e11b-4d36-88ff-6049b138f862 字符"/>
    <w:basedOn w:val="DefaultParagraphFont"/>
    <w:link w:val="acbfdd8b-e11b-4d36-88ff-6049b138f862"/>
    <w:rsid w:val="00266EF2"/>
    <w:rPr>
      <w:rFonts w:ascii="Microsoft YaHei" w:eastAsia="Microsoft YaHei" w:hAnsi="Microsoft YaHei" w:cs="Times New Roman"/>
      <w:bCs/>
      <w:color w:val="000000"/>
      <w:sz w:val="22"/>
      <w:szCs w:val="28"/>
      <w14:ligatures w14:val="standardContextual"/>
    </w:rPr>
  </w:style>
  <w:style w:type="paragraph" w:customStyle="1" w:styleId="EndNoteBibliographyTitle">
    <w:name w:val="EndNote Bibliography Title"/>
    <w:basedOn w:val="Normal"/>
    <w:link w:val="EndNoteBibliographyTitle0"/>
    <w:rsid w:val="009C70B8"/>
    <w:pPr>
      <w:jc w:val="center"/>
    </w:pPr>
    <w:rPr>
      <w:rFonts w:ascii="DengXian Light" w:eastAsia="DengXian Light" w:hAnsi="DengXian Light"/>
      <w:noProof/>
      <w:sz w:val="20"/>
    </w:rPr>
  </w:style>
  <w:style w:type="character" w:customStyle="1" w:styleId="EndNoteBibliographyTitle0">
    <w:name w:val="EndNote Bibliography Title 字符"/>
    <w:basedOn w:val="DefaultParagraphFont"/>
    <w:link w:val="EndNoteBibliographyTitle"/>
    <w:rsid w:val="009C70B8"/>
    <w:rPr>
      <w:rFonts w:ascii="DengXian Light" w:eastAsia="DengXian Light" w:hAnsi="DengXian Light"/>
      <w:noProof/>
      <w:sz w:val="20"/>
    </w:rPr>
  </w:style>
  <w:style w:type="paragraph" w:customStyle="1" w:styleId="EndNoteBibliography">
    <w:name w:val="EndNote Bibliography"/>
    <w:basedOn w:val="Normal"/>
    <w:link w:val="EndNoteBibliography0"/>
    <w:rsid w:val="009C70B8"/>
    <w:rPr>
      <w:rFonts w:ascii="DengXian Light" w:eastAsia="DengXian Light" w:hAnsi="DengXian Light"/>
      <w:noProof/>
      <w:sz w:val="20"/>
    </w:rPr>
  </w:style>
  <w:style w:type="character" w:customStyle="1" w:styleId="EndNoteBibliography0">
    <w:name w:val="EndNote Bibliography 字符"/>
    <w:basedOn w:val="DefaultParagraphFont"/>
    <w:link w:val="EndNoteBibliography"/>
    <w:rsid w:val="009C70B8"/>
    <w:rPr>
      <w:rFonts w:ascii="DengXian Light" w:eastAsia="DengXian Light" w:hAnsi="DengXian Light"/>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1192</TotalTime>
  <Pages>3</Pages>
  <Words>1354</Words>
  <Characters>7721</Characters>
  <Application>Microsoft Office Word</Application>
  <DocSecurity>0</DocSecurity>
  <Lines>64</Lines>
  <Paragraphs>18</Paragraphs>
  <ScaleCrop>false</ScaleCrop>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lin</dc:creator>
  <cp:keywords/>
  <dc:description/>
  <cp:lastModifiedBy>Robin Wei</cp:lastModifiedBy>
  <cp:revision>30</cp:revision>
  <dcterms:created xsi:type="dcterms:W3CDTF">2025-10-10T11:55:00Z</dcterms:created>
  <dcterms:modified xsi:type="dcterms:W3CDTF">2026-06-06T12:43:00Z</dcterms:modified>
</cp:coreProperties>
</file>