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31" w:rsidRDefault="00032631" w:rsidP="00032631">
      <w:pPr>
        <w:spacing w:line="48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  <w:lang w:eastAsia="zh-CN"/>
        </w:rPr>
        <w:t xml:space="preserve">Supplementary </w:t>
      </w:r>
      <w:r>
        <w:rPr>
          <w:rFonts w:ascii="Times New Roman" w:eastAsia="Arial" w:hAnsi="Times New Roman" w:cs="Times New Roman"/>
          <w:b/>
          <w:bCs/>
        </w:rPr>
        <w:t>Table</w:t>
      </w:r>
      <w:r>
        <w:rPr>
          <w:rFonts w:ascii="Times New Roman" w:eastAsia="Arial" w:hAnsi="Times New Roman" w:cs="Times New Roman"/>
          <w:b/>
          <w:bCs/>
          <w:lang w:eastAsia="zh-CN"/>
        </w:rPr>
        <w:t xml:space="preserve"> 1. </w:t>
      </w:r>
      <w:r>
        <w:rPr>
          <w:rFonts w:ascii="Times New Roman" w:eastAsia="Arial" w:hAnsi="Times New Roman" w:cs="Times New Roman"/>
          <w:b/>
          <w:bCs/>
        </w:rPr>
        <w:t>RT-qPCR primer sequences for analysis of transcript levels</w:t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>.</w:t>
      </w:r>
    </w:p>
    <w:tbl>
      <w:tblPr>
        <w:tblStyle w:val="TableGrid"/>
        <w:tblW w:w="8784" w:type="dxa"/>
        <w:tblLayout w:type="fixed"/>
        <w:tblLook w:val="04A0"/>
      </w:tblPr>
      <w:tblGrid>
        <w:gridCol w:w="1312"/>
        <w:gridCol w:w="3884"/>
        <w:gridCol w:w="3588"/>
      </w:tblGrid>
      <w:tr w:rsidR="00032631" w:rsidTr="004F20B0">
        <w:trPr>
          <w:trHeight w:val="567"/>
        </w:trPr>
        <w:tc>
          <w:tcPr>
            <w:tcW w:w="1312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shd w:val="clear" w:color="auto" w:fill="FFFFFF"/>
              </w:rPr>
              <w:t xml:space="preserve">Target gene </w:t>
            </w:r>
          </w:p>
        </w:tc>
        <w:tc>
          <w:tcPr>
            <w:tcW w:w="3884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Foward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Arial"/>
                <w:b/>
                <w:bCs/>
                <w:sz w:val="22"/>
                <w:szCs w:val="22"/>
              </w:rPr>
              <w:t>5'-3'</w:t>
            </w:r>
          </w:p>
        </w:tc>
        <w:tc>
          <w:tcPr>
            <w:tcW w:w="3588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Reverse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Arial"/>
                <w:b/>
                <w:bCs/>
                <w:sz w:val="22"/>
                <w:szCs w:val="22"/>
              </w:rPr>
              <w:t>5'-3'</w:t>
            </w:r>
          </w:p>
        </w:tc>
      </w:tr>
      <w:tr w:rsidR="00032631" w:rsidTr="004F20B0">
        <w:trPr>
          <w:trHeight w:val="567"/>
        </w:trPr>
        <w:tc>
          <w:tcPr>
            <w:tcW w:w="1312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i/>
                <w:sz w:val="22"/>
                <w:szCs w:val="22"/>
              </w:rPr>
            </w:pPr>
            <w:r>
              <w:rPr>
                <w:rFonts w:eastAsia="Arial"/>
                <w:i/>
                <w:sz w:val="22"/>
                <w:szCs w:val="22"/>
              </w:rPr>
              <w:t>Bax</w:t>
            </w:r>
          </w:p>
        </w:tc>
        <w:tc>
          <w:tcPr>
            <w:tcW w:w="3884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CTCAAGGCCCTGTGCACTAA</w:t>
            </w:r>
          </w:p>
        </w:tc>
        <w:tc>
          <w:tcPr>
            <w:tcW w:w="3588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CACGGAGGAAGTCCAGTGTC</w:t>
            </w:r>
          </w:p>
        </w:tc>
      </w:tr>
      <w:tr w:rsidR="00032631" w:rsidTr="004F20B0">
        <w:trPr>
          <w:trHeight w:val="567"/>
        </w:trPr>
        <w:tc>
          <w:tcPr>
            <w:tcW w:w="1312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i/>
                <w:sz w:val="22"/>
                <w:szCs w:val="22"/>
              </w:rPr>
            </w:pPr>
            <w:r>
              <w:rPr>
                <w:rFonts w:eastAsia="Arial"/>
                <w:i/>
                <w:sz w:val="22"/>
                <w:szCs w:val="22"/>
              </w:rPr>
              <w:t>Bcl2</w:t>
            </w:r>
          </w:p>
        </w:tc>
        <w:tc>
          <w:tcPr>
            <w:tcW w:w="3884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GTGGAGGAACTCTTCAGGGATGG</w:t>
            </w:r>
          </w:p>
        </w:tc>
        <w:tc>
          <w:tcPr>
            <w:tcW w:w="3588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GACATCTCCCTGTTGACGCTCTC</w:t>
            </w:r>
          </w:p>
        </w:tc>
      </w:tr>
      <w:tr w:rsidR="00032631" w:rsidTr="004F20B0">
        <w:trPr>
          <w:trHeight w:val="567"/>
        </w:trPr>
        <w:tc>
          <w:tcPr>
            <w:tcW w:w="1312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i/>
                <w:sz w:val="22"/>
                <w:szCs w:val="22"/>
              </w:rPr>
            </w:pPr>
            <w:r>
              <w:rPr>
                <w:rFonts w:eastAsia="Arial"/>
                <w:i/>
                <w:sz w:val="22"/>
                <w:szCs w:val="22"/>
              </w:rPr>
              <w:t>Tnfα</w:t>
            </w:r>
          </w:p>
        </w:tc>
        <w:tc>
          <w:tcPr>
            <w:tcW w:w="3884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CATCTTCTCAAAATTCGAGTGACAA</w:t>
            </w:r>
          </w:p>
        </w:tc>
        <w:tc>
          <w:tcPr>
            <w:tcW w:w="3588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TGGGAGTAGACAAGGTACAACCC</w:t>
            </w:r>
          </w:p>
        </w:tc>
      </w:tr>
      <w:tr w:rsidR="00032631" w:rsidTr="004F20B0">
        <w:trPr>
          <w:trHeight w:val="567"/>
        </w:trPr>
        <w:tc>
          <w:tcPr>
            <w:tcW w:w="1312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zh-CN"/>
              </w:rPr>
              <w:t>Il-</w:t>
            </w:r>
            <w:r>
              <w:rPr>
                <w:rFonts w:eastAsia="Arial"/>
                <w:i/>
                <w:sz w:val="22"/>
                <w:szCs w:val="22"/>
              </w:rPr>
              <w:t>1β</w:t>
            </w:r>
          </w:p>
        </w:tc>
        <w:tc>
          <w:tcPr>
            <w:tcW w:w="3884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GTCGCTCAGGGTCACAAGAA</w:t>
            </w:r>
          </w:p>
        </w:tc>
        <w:tc>
          <w:tcPr>
            <w:tcW w:w="3588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GTGCTGCCTAATGTCCCCTT</w:t>
            </w:r>
          </w:p>
        </w:tc>
      </w:tr>
      <w:tr w:rsidR="00032631" w:rsidTr="004F20B0">
        <w:trPr>
          <w:trHeight w:val="567"/>
        </w:trPr>
        <w:tc>
          <w:tcPr>
            <w:tcW w:w="1312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i/>
                <w:sz w:val="22"/>
                <w:szCs w:val="22"/>
              </w:rPr>
            </w:pPr>
            <w:r>
              <w:rPr>
                <w:rFonts w:eastAsia="Arial"/>
                <w:i/>
                <w:sz w:val="22"/>
                <w:szCs w:val="22"/>
              </w:rPr>
              <w:t>Il</w:t>
            </w:r>
            <w:r>
              <w:rPr>
                <w:i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i/>
                <w:sz w:val="22"/>
                <w:szCs w:val="22"/>
              </w:rPr>
              <w:t>6</w:t>
            </w:r>
          </w:p>
        </w:tc>
        <w:tc>
          <w:tcPr>
            <w:tcW w:w="3884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AGTTGCCTTCTTGGGACTGA</w:t>
            </w:r>
          </w:p>
        </w:tc>
        <w:tc>
          <w:tcPr>
            <w:tcW w:w="3588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TCCACGATTTCCCAGAGAAC</w:t>
            </w:r>
          </w:p>
        </w:tc>
      </w:tr>
      <w:tr w:rsidR="00032631" w:rsidTr="004F20B0">
        <w:trPr>
          <w:trHeight w:val="567"/>
        </w:trPr>
        <w:tc>
          <w:tcPr>
            <w:tcW w:w="1312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i/>
                <w:sz w:val="22"/>
                <w:szCs w:val="22"/>
              </w:rPr>
            </w:pPr>
            <w:r>
              <w:rPr>
                <w:rFonts w:eastAsia="Arial"/>
                <w:i/>
                <w:sz w:val="22"/>
                <w:szCs w:val="22"/>
              </w:rPr>
              <w:t>Ifn</w:t>
            </w:r>
            <w:r>
              <w:rPr>
                <w:i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i/>
                <w:sz w:val="22"/>
                <w:szCs w:val="22"/>
              </w:rPr>
              <w:t>γ</w:t>
            </w:r>
          </w:p>
        </w:tc>
        <w:tc>
          <w:tcPr>
            <w:tcW w:w="3884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AGGAACTGGCAAAAGGATGGT</w:t>
            </w:r>
          </w:p>
        </w:tc>
        <w:tc>
          <w:tcPr>
            <w:tcW w:w="3588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GTTGCTGATGGCCTGATTGT</w:t>
            </w:r>
          </w:p>
        </w:tc>
      </w:tr>
      <w:tr w:rsidR="00032631" w:rsidTr="004F20B0">
        <w:trPr>
          <w:trHeight w:val="567"/>
        </w:trPr>
        <w:tc>
          <w:tcPr>
            <w:tcW w:w="1312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i/>
                <w:sz w:val="22"/>
                <w:szCs w:val="22"/>
              </w:rPr>
            </w:pPr>
            <w:r>
              <w:rPr>
                <w:rFonts w:eastAsia="Arial"/>
                <w:i/>
                <w:sz w:val="22"/>
                <w:szCs w:val="22"/>
              </w:rPr>
              <w:t>Gapdh</w:t>
            </w:r>
          </w:p>
        </w:tc>
        <w:tc>
          <w:tcPr>
            <w:tcW w:w="3884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GGCATGGACTGTGGTCATGAG</w:t>
            </w:r>
          </w:p>
        </w:tc>
        <w:tc>
          <w:tcPr>
            <w:tcW w:w="3588" w:type="dxa"/>
          </w:tcPr>
          <w:p w:rsidR="00032631" w:rsidRDefault="00032631" w:rsidP="004F20B0">
            <w:pPr>
              <w:spacing w:line="480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TGCACCACCAACTGCTTAGC</w:t>
            </w:r>
          </w:p>
        </w:tc>
      </w:tr>
    </w:tbl>
    <w:p w:rsidR="00032631" w:rsidRDefault="00032631" w:rsidP="0003263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i/>
        </w:rPr>
        <w:t>Bcl2</w:t>
      </w:r>
      <w:r>
        <w:rPr>
          <w:rFonts w:ascii="Times New Roman" w:eastAsia="宋体" w:hAnsi="Times New Roman" w:cs="Times New Roman"/>
          <w:lang w:eastAsia="zh-CN"/>
        </w:rPr>
        <w:t xml:space="preserve">, B-Cell Lymphoma-2; </w:t>
      </w:r>
      <w:r>
        <w:rPr>
          <w:rFonts w:ascii="Times New Roman" w:eastAsia="Arial" w:hAnsi="Times New Roman" w:cs="Times New Roman"/>
          <w:i/>
        </w:rPr>
        <w:t>Bax</w:t>
      </w:r>
      <w:r>
        <w:rPr>
          <w:rFonts w:ascii="Times New Roman" w:eastAsia="宋体" w:hAnsi="Times New Roman" w:cs="Times New Roman"/>
          <w:lang w:eastAsia="zh-CN"/>
        </w:rPr>
        <w:t xml:space="preserve">, Bcl2-Associated X protein; </w:t>
      </w:r>
      <w:r>
        <w:rPr>
          <w:rFonts w:ascii="Times New Roman" w:eastAsia="Arial" w:hAnsi="Times New Roman" w:cs="Times New Roman"/>
          <w:i/>
        </w:rPr>
        <w:t>Tnfα</w:t>
      </w:r>
      <w:r>
        <w:rPr>
          <w:rFonts w:ascii="Times New Roman" w:hAnsi="Times New Roman" w:cs="Times New Roman"/>
          <w:lang w:eastAsia="zh-CN"/>
        </w:rPr>
        <w:t>, tumor necrosis factor-</w:t>
      </w:r>
      <w:r>
        <w:rPr>
          <w:rFonts w:ascii="Times New Roman" w:eastAsia="Arial" w:hAnsi="Times New Roman" w:cs="Times New Roman"/>
          <w:lang w:eastAsia="zh-CN"/>
        </w:rPr>
        <w:t xml:space="preserve">alpha; </w:t>
      </w:r>
      <w:r>
        <w:rPr>
          <w:rFonts w:ascii="Times New Roman" w:eastAsia="宋体" w:hAnsi="Times New Roman" w:cs="Times New Roman"/>
          <w:i/>
          <w:lang w:eastAsia="zh-CN"/>
        </w:rPr>
        <w:t>Il-</w:t>
      </w:r>
      <w:r>
        <w:rPr>
          <w:rFonts w:ascii="Times New Roman" w:eastAsia="Arial" w:hAnsi="Times New Roman" w:cs="Times New Roman"/>
          <w:i/>
        </w:rPr>
        <w:t>1β</w:t>
      </w:r>
      <w:r>
        <w:rPr>
          <w:rFonts w:ascii="Times New Roman" w:hAnsi="Times New Roman" w:cs="Times New Roman"/>
          <w:lang w:eastAsia="zh-CN"/>
        </w:rPr>
        <w:t xml:space="preserve">, interleukin-1β; </w:t>
      </w:r>
      <w:r>
        <w:rPr>
          <w:rFonts w:ascii="Times New Roman" w:eastAsia="Arial" w:hAnsi="Times New Roman" w:cs="Times New Roman"/>
          <w:i/>
        </w:rPr>
        <w:t>Il</w:t>
      </w:r>
      <w:r>
        <w:rPr>
          <w:rFonts w:ascii="Times New Roman" w:eastAsia="宋体" w:hAnsi="Times New Roman" w:cs="Times New Roman"/>
          <w:i/>
          <w:lang w:eastAsia="zh-CN"/>
        </w:rPr>
        <w:t>-</w:t>
      </w:r>
      <w:r>
        <w:rPr>
          <w:rFonts w:ascii="Times New Roman" w:eastAsia="Arial" w:hAnsi="Times New Roman" w:cs="Times New Roman"/>
          <w:i/>
        </w:rPr>
        <w:t>6</w:t>
      </w:r>
      <w:r>
        <w:rPr>
          <w:rFonts w:ascii="Times New Roman" w:eastAsia="宋体" w:hAnsi="Times New Roman" w:cs="Times New Roman"/>
          <w:i/>
          <w:lang w:eastAsia="zh-CN"/>
        </w:rPr>
        <w:t xml:space="preserve">, </w:t>
      </w:r>
      <w:r>
        <w:rPr>
          <w:rFonts w:ascii="Times New Roman" w:hAnsi="Times New Roman" w:cs="Times New Roman"/>
          <w:lang w:eastAsia="zh-CN"/>
        </w:rPr>
        <w:t xml:space="preserve">interleukin-6; </w:t>
      </w:r>
      <w:r>
        <w:rPr>
          <w:rFonts w:ascii="Times New Roman" w:eastAsia="Arial" w:hAnsi="Times New Roman" w:cs="Times New Roman"/>
          <w:i/>
        </w:rPr>
        <w:t>Ifn</w:t>
      </w:r>
      <w:r>
        <w:rPr>
          <w:rFonts w:ascii="Times New Roman" w:eastAsia="宋体" w:hAnsi="Times New Roman" w:cs="Times New Roman"/>
          <w:i/>
          <w:lang w:eastAsia="zh-CN"/>
        </w:rPr>
        <w:t>-</w:t>
      </w:r>
      <w:r>
        <w:rPr>
          <w:rFonts w:ascii="Times New Roman" w:eastAsia="Arial" w:hAnsi="Times New Roman" w:cs="Times New Roman"/>
          <w:i/>
        </w:rPr>
        <w:t>γ</w:t>
      </w:r>
      <w:r>
        <w:rPr>
          <w:rFonts w:ascii="Times New Roman" w:eastAsia="宋体" w:hAnsi="Times New Roman" w:cs="Times New Roman"/>
          <w:i/>
          <w:lang w:eastAsia="zh-CN"/>
        </w:rPr>
        <w:t xml:space="preserve">, </w:t>
      </w:r>
      <w:r>
        <w:rPr>
          <w:rFonts w:ascii="Times New Roman" w:eastAsia="Arial" w:hAnsi="Times New Roman" w:cs="Times New Roman"/>
          <w:lang w:eastAsia="zh-CN"/>
        </w:rPr>
        <w:t>interferon-gamma</w:t>
      </w:r>
      <w:r>
        <w:rPr>
          <w:rFonts w:ascii="Times New Roman" w:eastAsia="宋体" w:hAnsi="Times New Roman" w:cs="Times New Roman"/>
          <w:i/>
          <w:lang w:eastAsia="zh-CN"/>
        </w:rPr>
        <w:t>;</w:t>
      </w:r>
      <w:r>
        <w:rPr>
          <w:rFonts w:ascii="Times New Roman" w:eastAsia="宋体" w:hAnsi="Times New Roman" w:cs="Times New Roman" w:hint="eastAsia"/>
          <w:i/>
          <w:lang w:eastAsia="zh-CN"/>
        </w:rPr>
        <w:t xml:space="preserve"> </w:t>
      </w:r>
      <w:r>
        <w:rPr>
          <w:rFonts w:ascii="Times New Roman" w:eastAsia="Arial" w:hAnsi="Times New Roman" w:cs="Times New Roman"/>
          <w:i/>
        </w:rPr>
        <w:t>Gapdh</w:t>
      </w:r>
      <w:r>
        <w:rPr>
          <w:rFonts w:ascii="Times New Roman" w:eastAsia="宋体" w:hAnsi="Times New Roman" w:cs="Times New Roman"/>
          <w:i/>
          <w:lang w:eastAsia="zh-CN"/>
        </w:rPr>
        <w:t>,</w:t>
      </w:r>
      <w:r>
        <w:rPr>
          <w:rFonts w:ascii="Times New Roman" w:hAnsi="Times New Roman" w:cs="Times New Roman"/>
          <w:lang w:eastAsia="zh-CN"/>
        </w:rPr>
        <w:t xml:space="preserve"> glyceraldehyde 3-phosphate dehydrogenase.</w:t>
      </w:r>
    </w:p>
    <w:p w:rsidR="009666BE" w:rsidRDefault="009666BE"/>
    <w:sectPr w:rsidR="009666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032631"/>
    <w:rsid w:val="00032631"/>
    <w:rsid w:val="0096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32631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2025-07-15T11:27:00Z</dcterms:created>
  <dcterms:modified xsi:type="dcterms:W3CDTF">2025-07-15T11:27:00Z</dcterms:modified>
</cp:coreProperties>
</file>