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C4" w:rsidRPr="000046C5" w:rsidRDefault="003556C4" w:rsidP="003556C4">
      <w:pPr>
        <w:spacing w:after="40" w:line="240" w:lineRule="auto"/>
        <w:rPr>
          <w:rFonts w:ascii="Times New Roman" w:eastAsia="PMingLiU" w:hAnsi="Times New Roman" w:cs="Times New Roman"/>
          <w:bCs/>
          <w:sz w:val="20"/>
          <w:szCs w:val="20"/>
          <w:lang w:eastAsia="zh-CN"/>
        </w:rPr>
      </w:pPr>
      <w:r w:rsidRPr="000046C5">
        <w:rPr>
          <w:rFonts w:ascii="Times New Roman" w:eastAsia="PMingLiU" w:hAnsi="Times New Roman" w:cs="Times New Roman"/>
          <w:b/>
          <w:sz w:val="20"/>
          <w:szCs w:val="20"/>
          <w:lang w:eastAsia="zh-CN"/>
        </w:rPr>
        <w:t>Supplementary Fig</w:t>
      </w:r>
      <w:r w:rsidRPr="000046C5">
        <w:rPr>
          <w:rFonts w:ascii="Times New Roman" w:eastAsia="DengXian" w:hAnsi="Times New Roman" w:cs="Times New Roman" w:hint="eastAsia"/>
          <w:b/>
          <w:sz w:val="20"/>
          <w:szCs w:val="20"/>
          <w:lang w:eastAsia="zh-CN"/>
        </w:rPr>
        <w:t>.</w:t>
      </w:r>
      <w:r w:rsidRPr="000046C5">
        <w:rPr>
          <w:rFonts w:ascii="Times New Roman" w:eastAsia="PMingLiU" w:hAnsi="Times New Roman" w:cs="Times New Roman"/>
          <w:b/>
          <w:sz w:val="20"/>
          <w:szCs w:val="20"/>
          <w:lang w:eastAsia="zh-CN"/>
        </w:rPr>
        <w:t xml:space="preserve"> 1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 xml:space="preserve"> Distribution of AFP, AFP-L3, and PIVKA-II concentrations by (A) healthy and CLD controls, CLD controls, and HCC; (B) BCLC stage; and (C) etiology.</w:t>
      </w:r>
    </w:p>
    <w:p w:rsidR="003556C4" w:rsidRPr="000046C5" w:rsidRDefault="003556C4" w:rsidP="003556C4">
      <w:pPr>
        <w:spacing w:after="40" w:line="240" w:lineRule="auto"/>
        <w:rPr>
          <w:rFonts w:ascii="Times New Roman" w:eastAsia="PMingLiU" w:hAnsi="Times New Roman" w:cs="Times New Roman"/>
          <w:b/>
          <w:sz w:val="20"/>
          <w:szCs w:val="20"/>
          <w:lang w:eastAsia="zh-CN"/>
        </w:rPr>
      </w:pPr>
    </w:p>
    <w:p w:rsidR="003556C4" w:rsidRPr="000046C5" w:rsidRDefault="003556C4" w:rsidP="003556C4">
      <w:pPr>
        <w:rPr>
          <w:rFonts w:ascii="Times New Roman" w:eastAsia="PMingLiU" w:hAnsi="Times New Roman" w:cs="Times New Roman"/>
          <w:b/>
          <w:sz w:val="20"/>
          <w:szCs w:val="20"/>
          <w:lang w:eastAsia="zh-CN"/>
        </w:rPr>
      </w:pPr>
      <w:r w:rsidRPr="000046C5">
        <w:rPr>
          <w:rFonts w:ascii="Times New Roman" w:eastAsia="PMingLiU" w:hAnsi="Times New Roman" w:cs="Times New Roman"/>
          <w:noProof/>
          <w:sz w:val="24"/>
          <w:szCs w:val="24"/>
        </w:rPr>
        <w:drawing>
          <wp:inline distT="0" distB="0" distL="0" distR="0">
            <wp:extent cx="8531860" cy="4051755"/>
            <wp:effectExtent l="0" t="0" r="2540" b="635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393224" name="Graphic 1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05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ACC" w:rsidRPr="003556C4" w:rsidRDefault="003556C4" w:rsidP="003556C4"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 xml:space="preserve">AFP, α-fetoprotein; AFP-L3, </w:t>
      </w:r>
      <w:r w:rsidRPr="000046C5">
        <w:rPr>
          <w:rFonts w:ascii="Times New Roman" w:eastAsia="PMingLiU" w:hAnsi="Times New Roman" w:cs="Times New Roman"/>
          <w:bCs/>
          <w:i/>
          <w:iCs/>
          <w:sz w:val="20"/>
          <w:szCs w:val="20"/>
          <w:lang w:eastAsia="zh-CN"/>
        </w:rPr>
        <w:t>Lens culinaris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 xml:space="preserve"> agglutinin-reactive fraction of </w:t>
      </w:r>
      <w:r w:rsidRPr="000046C5">
        <w:rPr>
          <w:rFonts w:ascii="Times New Roman" w:eastAsia="PMingLiU" w:hAnsi="Times New Roman" w:cs="Times New Roman"/>
          <w:color w:val="000000"/>
          <w:lang w:eastAsia="zh-CN"/>
        </w:rPr>
        <w:t>α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>-fetoprotein; CLD, chronic liver disease; HBV, hepatitis B virus; HCC, hepatocellular carcinoma; HCV, hepatitis C virus; PIVKA-II, protein induced by vitamin K absence or antagonist II</w:t>
      </w:r>
      <w:r w:rsidRPr="000046C5">
        <w:rPr>
          <w:rFonts w:ascii="Times New Roman" w:eastAsia="PMingLiU" w:hAnsi="Times New Roman" w:cs="Times New Roman"/>
          <w:b/>
          <w:sz w:val="20"/>
          <w:szCs w:val="20"/>
          <w:lang w:eastAsia="zh-CN"/>
        </w:rPr>
        <w:t>.</w:t>
      </w:r>
    </w:p>
    <w:sectPr w:rsidR="00B13ACC" w:rsidRPr="003556C4" w:rsidSect="00466D4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0B22EF"/>
    <w:rsid w:val="000B22EF"/>
    <w:rsid w:val="003556C4"/>
    <w:rsid w:val="003D35EA"/>
    <w:rsid w:val="00466D4F"/>
    <w:rsid w:val="00B1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2024-10-08T10:25:00Z</dcterms:created>
  <dcterms:modified xsi:type="dcterms:W3CDTF">2024-10-11T01:56:00Z</dcterms:modified>
</cp:coreProperties>
</file>