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9B" w:rsidRDefault="00E97C9B" w:rsidP="00E97C9B">
      <w:pPr>
        <w:suppressLineNumbers/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hint="eastAsia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32"/>
        </w:rPr>
        <w:t>Table 1. Previously published research on TCM in the prevention of HCC related to HBV</w:t>
      </w:r>
    </w:p>
    <w:tbl>
      <w:tblPr>
        <w:tblpPr w:leftFromText="180" w:rightFromText="180" w:vertAnchor="text" w:horzAnchor="page" w:tblpX="1401" w:tblpY="39"/>
        <w:tblOverlap w:val="never"/>
        <w:tblW w:w="14120" w:type="dxa"/>
        <w:tblLayout w:type="fixed"/>
        <w:tblLook w:val="04A0"/>
      </w:tblPr>
      <w:tblGrid>
        <w:gridCol w:w="1292"/>
        <w:gridCol w:w="717"/>
        <w:gridCol w:w="1742"/>
        <w:gridCol w:w="1765"/>
        <w:gridCol w:w="1440"/>
        <w:gridCol w:w="1989"/>
        <w:gridCol w:w="1898"/>
        <w:gridCol w:w="1548"/>
        <w:gridCol w:w="1729"/>
      </w:tblGrid>
      <w:tr w:rsidR="00E97C9B" w:rsidTr="00163D2D">
        <w:trPr>
          <w:trHeight w:val="288"/>
        </w:trPr>
        <w:tc>
          <w:tcPr>
            <w:tcW w:w="129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97C9B" w:rsidRDefault="00E97C9B" w:rsidP="00E97C9B">
            <w:pPr>
              <w:adjustRightInd w:val="0"/>
              <w:snapToGrid w:val="0"/>
              <w:ind w:leftChars="-85" w:left="-187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Population 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Incidence of HCC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Study design</w:t>
            </w:r>
          </w:p>
        </w:tc>
      </w:tr>
      <w:tr w:rsidR="00E97C9B" w:rsidTr="00163D2D">
        <w:trPr>
          <w:trHeight w:val="117"/>
        </w:trPr>
        <w:tc>
          <w:tcPr>
            <w:tcW w:w="12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Preexisting Disease fibrosis/cirrhosis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Naive/ experienced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Stage</w:t>
            </w:r>
          </w:p>
        </w:tc>
        <w:tc>
          <w:tcPr>
            <w:tcW w:w="198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E97C9B" w:rsidTr="00163D2D">
        <w:trPr>
          <w:trHeight w:val="288"/>
        </w:trPr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Dong J, et al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Ishak fibrosis score ≥3 points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Naïve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Compensated stage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ETV+BRC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ETV+ placebo; ETV only in open-label treatment phase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4.7% vs 9.3% (7 years)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RCT + open-label treatment phase</w:t>
            </w:r>
          </w:p>
        </w:tc>
      </w:tr>
      <w:tr w:rsidR="00E97C9B" w:rsidTr="00163D2D">
        <w:trPr>
          <w:trHeight w:val="2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ShiK, et al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Cirrhosis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Compensated &amp; decompensated stage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ETV/TDF + FZHY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 or TDF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10.04% vs 23.2% (5 years)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retrospective cohort</w:t>
            </w:r>
          </w:p>
        </w:tc>
      </w:tr>
      <w:tr w:rsidR="00E97C9B" w:rsidTr="00163D2D">
        <w:trPr>
          <w:trHeight w:val="2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Zhou YC, et al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[3]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METAVIR≥F2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Naïve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Compensated stage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ETV/TDF/ADV +BRC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ETV, TDF or ADV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1.7%/0/3.3% vs 2.2%/0/1.7% (3 years)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randomized, open-label control study</w:t>
            </w:r>
          </w:p>
        </w:tc>
      </w:tr>
      <w:tr w:rsidR="00E97C9B" w:rsidTr="00163D2D">
        <w:trPr>
          <w:trHeight w:val="2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Tsai TY, et al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[4]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CHB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TCM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(Herbal formula)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Nucleos(t)ide analogues (LAM, ADV, telbivudine, ETV or TDF)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5.28 vs</w:t>
            </w:r>
          </w:p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10.18 per 1000 PYs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retrospective cohort</w:t>
            </w:r>
          </w:p>
        </w:tc>
      </w:tr>
      <w:tr w:rsidR="00E97C9B" w:rsidTr="00163D2D">
        <w:trPr>
          <w:trHeight w:val="99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Jiang XY, et al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[5]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CHB and hepatitis B cirrhosis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Naïve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Compensated &amp; decompensated stage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anti-inflammatory and hepatoprotective drugs including schisandra preparation (oral bicyclol, wuzhi capsule or tablet), and Silymarin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Monotherapy (LAM,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ADV,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LDT or ETV) or combination therapy (LAM + ADV, LDT + ADV, or ETV + ADV)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13.5% vs 10.7% (16 years) in CHB;</w:t>
            </w:r>
          </w:p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53.1% vs 31.9% (10 years) in cirrhosis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ambispective cohort</w:t>
            </w:r>
          </w:p>
        </w:tc>
      </w:tr>
      <w:tr w:rsidR="00E97C9B" w:rsidTr="00163D2D">
        <w:trPr>
          <w:trHeight w:val="998"/>
        </w:trPr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Yufeng Xing, et al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[6]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HBV-related cirrhosis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Naïve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Compensated stage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ETV+BRC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ETV+placebo; ETV only in open-label treatment phase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1.18% vs 3.68% (5 years)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97C9B" w:rsidRDefault="00E97C9B" w:rsidP="00163D2D">
            <w:pPr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RCT+open-label treatment phase</w:t>
            </w:r>
          </w:p>
        </w:tc>
      </w:tr>
    </w:tbl>
    <w:p w:rsidR="00E97C9B" w:rsidRDefault="00E97C9B" w:rsidP="00E97C9B">
      <w:r w:rsidRPr="008C50C9">
        <w:t>HCC, hepatocellular carcinoma;</w:t>
      </w:r>
      <w:r>
        <w:rPr>
          <w:rFonts w:hint="eastAsia"/>
        </w:rPr>
        <w:t xml:space="preserve"> </w:t>
      </w:r>
      <w:r w:rsidRPr="0085720E">
        <w:t>ETV, entecaivr;</w:t>
      </w:r>
      <w:r>
        <w:rPr>
          <w:rFonts w:hint="eastAsia"/>
        </w:rPr>
        <w:t xml:space="preserve"> </w:t>
      </w:r>
      <w:r w:rsidRPr="002F0D21">
        <w:t>FZHY, Fuzheng Huayu tablets;</w:t>
      </w:r>
      <w:r>
        <w:rPr>
          <w:rFonts w:hint="eastAsia"/>
        </w:rPr>
        <w:t xml:space="preserve"> TDF, </w:t>
      </w:r>
      <w:r w:rsidRPr="00E14922">
        <w:t>tenofovir</w:t>
      </w:r>
      <w:r>
        <w:rPr>
          <w:rFonts w:hint="eastAsia"/>
        </w:rPr>
        <w:t xml:space="preserve">; BRC, </w:t>
      </w:r>
      <w:r w:rsidRPr="00FB09E3">
        <w:t>Biejia-Ruangan compound</w:t>
      </w:r>
      <w:r>
        <w:rPr>
          <w:rFonts w:hint="eastAsia"/>
        </w:rPr>
        <w:t xml:space="preserve">; ADV, </w:t>
      </w:r>
      <w:r w:rsidRPr="007D4604">
        <w:t>adefovir</w:t>
      </w:r>
      <w:r>
        <w:rPr>
          <w:rFonts w:hint="eastAsia"/>
        </w:rPr>
        <w:t xml:space="preserve">; LAM, </w:t>
      </w:r>
      <w:r w:rsidRPr="002116F9">
        <w:t>lamivudine</w:t>
      </w:r>
      <w:r>
        <w:rPr>
          <w:rFonts w:hint="eastAsia"/>
        </w:rPr>
        <w:t>.</w:t>
      </w:r>
    </w:p>
    <w:p w:rsidR="00E97C9B" w:rsidRDefault="00E97C9B" w:rsidP="00E97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</w:p>
    <w:p w:rsidR="00E97C9B" w:rsidRDefault="00E97C9B" w:rsidP="00E97C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 D, Chen Y, Bi J, Shang Q, Liu H, Wang JB, </w:t>
      </w:r>
      <w:r w:rsidRPr="007E73C5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>. Entecavir plus Biejia-Ruangan compound reduces the risk of hepatocellular carcinoma in Chinese patients with chronic hepatitis B. J Hepatol 2022;77(6):1515-1524. doi: 10.1016/j.jhep.2022.07.018. PMID: 35985545.</w:t>
      </w:r>
    </w:p>
    <w:p w:rsidR="00E97C9B" w:rsidRDefault="00E97C9B" w:rsidP="00E97C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 K, Liu Y, Wang X, Li Y, Zhang Q, Hu Y, </w:t>
      </w:r>
      <w:r w:rsidRPr="007E73C5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>. Adjuvant Fuzheng Huayu Capsule Reduces the Incidence of Hepatocellular Carcinoma in Patients with Hepatitis B-Caused Cirrhosis. Evid Based Complement Alternat Med 2020;2020:8826091. doi: 10.1155/2020/8826091. PMID: 33178324.</w:t>
      </w:r>
    </w:p>
    <w:p w:rsidR="00E97C9B" w:rsidRDefault="00E97C9B" w:rsidP="00E97C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Zhou Y, Hu C, Yuan G, Liu J, Ren Y, Tang C, </w:t>
      </w:r>
      <w:r w:rsidRPr="007E73C5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>. Antiviral and antifibrotic therapies reduce occurrence of hepatocellular carcinoma in patients with chronic hepatitis B and liver fibrosis: a 144-week prospective cohort study. Nan Fang Yi Ke Da Xue Xue Bao 2019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633-640. doi.org/10.12122/j.issn.1673-4254.2019.06.02.</w:t>
      </w:r>
    </w:p>
    <w:p w:rsidR="00E97C9B" w:rsidRDefault="00E97C9B" w:rsidP="00E97C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Tsai TY, Livneh H, Hung TH, Lin IH, Lu MC, Yeh CC. Associations between prescribed Chinese herbal medicine and risk of hepatocellular carcinoma in patients with chronic hepatitis B: a nationwide population-based cohort study. BMJ Open 2017;7(1):e014571. doi: 10.1136/bmjopen-2016-014571. PMID: 28122837.</w:t>
      </w:r>
    </w:p>
    <w:p w:rsidR="00E97C9B" w:rsidRDefault="00E97C9B" w:rsidP="00E97C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Jiang XY, Huang B, Huang DP, Wei CS, Zhong WC, Peng DT, </w:t>
      </w:r>
      <w:r w:rsidRPr="007E73C5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>. Long-term follow-up of cumulative incidence of hepatocellular carcinoma in hepatitis B virus patients without antiviral therapy. World J Gastroenterol 2021;27(11):1101-1116. doi: 10.3748/wjg.v27.i11.1101. PMID: 33776376.</w:t>
      </w:r>
    </w:p>
    <w:p w:rsidR="00E97C9B" w:rsidRDefault="00E97C9B" w:rsidP="00E97C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  <w:sectPr w:rsidR="00E97C9B" w:rsidSect="00A774EA">
          <w:footerReference w:type="default" r:id="rId5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t xml:space="preserve">Xing Y, Zhong W, Peng D, Han Z, Zeng H, Wang Y, </w:t>
      </w:r>
      <w:r w:rsidRPr="007E73C5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>. Chinese herbal formula ruangan granule enhances the efficacy of entecavir to reverse advanced liver fibrosis/early cirrhosis in patients with chronic HBV infection: A multicenter, randomized clinical trial. Pharmacol Res 2023;190:106737. doi: 10.1016/j.phrs.2023.106737. PMID: 36940891.</w:t>
      </w:r>
    </w:p>
    <w:p w:rsidR="004D441B" w:rsidRDefault="004D441B"/>
    <w:sectPr w:rsidR="004D44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C6" w:rsidRDefault="004D441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<v:textbox style="mso-fit-shape-to-text:t" inset="0,0,0,0">
            <w:txbxContent>
              <w:sdt>
                <w:sdtPr>
                  <w:id w:val="354240397"/>
                </w:sdtPr>
                <w:sdtEndPr/>
                <w:sdtContent>
                  <w:p w:rsidR="00DE1AC6" w:rsidRDefault="004D441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97C9B" w:rsidRPr="00E97C9B">
                      <w:rPr>
                        <w:noProof/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sdtContent>
              </w:sdt>
              <w:p w:rsidR="00DE1AC6" w:rsidRDefault="004D441B"/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820A0D"/>
    <w:multiLevelType w:val="singleLevel"/>
    <w:tmpl w:val="AB820A0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E97C9B"/>
    <w:rsid w:val="004D441B"/>
    <w:rsid w:val="00E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qFormat/>
    <w:rsid w:val="00E97C9B"/>
    <w:pPr>
      <w:widowControl w:val="0"/>
      <w:tabs>
        <w:tab w:val="center" w:pos="4153"/>
        <w:tab w:val="right" w:pos="8306"/>
      </w:tabs>
      <w:snapToGrid w:val="0"/>
      <w:spacing w:after="0" w:line="480" w:lineRule="auto"/>
      <w:ind w:firstLine="42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97C9B"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2024-03-19T00:19:00Z</dcterms:created>
  <dcterms:modified xsi:type="dcterms:W3CDTF">2024-03-19T00:19:00Z</dcterms:modified>
</cp:coreProperties>
</file>