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72" w:rsidRDefault="00227E72" w:rsidP="00227E72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Table 1. Published cases of LT using grafts involved by CE</w:t>
      </w:r>
    </w:p>
    <w:tbl>
      <w:tblPr>
        <w:tblStyle w:val="21"/>
        <w:tblW w:w="9072" w:type="dxa"/>
        <w:jc w:val="center"/>
        <w:tblLook w:val="04A0"/>
      </w:tblPr>
      <w:tblGrid>
        <w:gridCol w:w="1788"/>
        <w:gridCol w:w="696"/>
        <w:gridCol w:w="2374"/>
        <w:gridCol w:w="1244"/>
        <w:gridCol w:w="1381"/>
        <w:gridCol w:w="1589"/>
      </w:tblGrid>
      <w:tr w:rsidR="00227E72" w:rsidTr="004759ED">
        <w:trPr>
          <w:cnfStyle w:val="100000000000"/>
          <w:jc w:val="center"/>
        </w:trPr>
        <w:tc>
          <w:tcPr>
            <w:cnfStyle w:val="001000000000"/>
            <w:tcW w:w="1788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Author</w:t>
            </w:r>
          </w:p>
        </w:tc>
        <w:tc>
          <w:tcPr>
            <w:tcW w:w="696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Year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Treatment</w:t>
            </w:r>
          </w:p>
        </w:tc>
        <w:tc>
          <w:tcPr>
            <w:tcW w:w="1244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Follow-up (M)</w:t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Recurrence</w:t>
            </w:r>
          </w:p>
        </w:tc>
        <w:tc>
          <w:tcPr>
            <w:tcW w:w="1589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</w:rPr>
              <w:t>utcome</w:t>
            </w:r>
          </w:p>
        </w:tc>
      </w:tr>
      <w:tr w:rsidR="00227E72" w:rsidTr="004759ED">
        <w:trPr>
          <w:jc w:val="center"/>
        </w:trPr>
        <w:tc>
          <w:tcPr>
            <w:cnfStyle w:val="001000000000"/>
            <w:tcW w:w="1788" w:type="dxa"/>
            <w:tcBorders>
              <w:top w:val="single" w:sz="18" w:space="0" w:color="000000" w:themeColor="text1"/>
              <w:bottom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Bein et al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696" w:type="dxa"/>
            <w:tcBorders>
              <w:top w:val="single" w:sz="18" w:space="0" w:color="000000" w:themeColor="text1"/>
              <w:bottom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374" w:type="dxa"/>
            <w:tcBorders>
              <w:top w:val="single" w:sz="18" w:space="0" w:color="000000" w:themeColor="text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44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89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Deceased</w:t>
            </w:r>
          </w:p>
        </w:tc>
      </w:tr>
      <w:tr w:rsidR="00227E72" w:rsidTr="004759ED">
        <w:trPr>
          <w:jc w:val="center"/>
        </w:trPr>
        <w:tc>
          <w:tcPr>
            <w:cnfStyle w:val="001000000000"/>
            <w:tcW w:w="178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Jiménez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et al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3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Closed pericystectomy</w:t>
            </w:r>
          </w:p>
        </w:tc>
        <w:tc>
          <w:tcPr>
            <w:tcW w:w="12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alive</w:t>
            </w:r>
          </w:p>
        </w:tc>
      </w:tr>
      <w:tr w:rsidR="00227E72" w:rsidTr="004759ED">
        <w:trPr>
          <w:jc w:val="center"/>
        </w:trPr>
        <w:tc>
          <w:tcPr>
            <w:cnfStyle w:val="001000000000"/>
            <w:tcW w:w="178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Eris et al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3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Drainage; washing with diluted cetrimide; cholerhexidine; partial pericystectomy</w:t>
            </w:r>
          </w:p>
        </w:tc>
        <w:tc>
          <w:tcPr>
            <w:tcW w:w="12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alive</w:t>
            </w:r>
          </w:p>
        </w:tc>
      </w:tr>
      <w:tr w:rsidR="00227E72" w:rsidTr="004759ED">
        <w:trPr>
          <w:jc w:val="center"/>
        </w:trPr>
        <w:tc>
          <w:tcPr>
            <w:cnfStyle w:val="001000000000"/>
            <w:tcW w:w="1788" w:type="dxa"/>
            <w:tcBorders>
              <w:top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Damiano et al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resection</w:t>
            </w:r>
          </w:p>
        </w:tc>
        <w:tc>
          <w:tcPr>
            <w:tcW w:w="12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227E72" w:rsidRDefault="00227E72" w:rsidP="004759ED">
            <w:pPr>
              <w:pStyle w:val="NormalWeb"/>
              <w:adjustRightInd w:val="0"/>
              <w:snapToGri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alive</w:t>
            </w:r>
          </w:p>
        </w:tc>
      </w:tr>
    </w:tbl>
    <w:p w:rsidR="00227E72" w:rsidRDefault="00227E72" w:rsidP="00227E72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sz w:val="24"/>
        </w:rPr>
      </w:pPr>
      <w:bookmarkStart w:id="0" w:name="OLE_LINK14"/>
      <w:bookmarkStart w:id="1" w:name="_Ref199370871"/>
      <w:bookmarkStart w:id="2" w:name="_Ref199370935"/>
      <w:r>
        <w:rPr>
          <w:rFonts w:ascii="Times New Roman" w:hAnsi="Times New Roman" w:cs="Times New Roman"/>
          <w:bCs/>
          <w:sz w:val="24"/>
        </w:rPr>
        <w:t>CE, cystic echinococcosis; LT, liver transplantation.</w:t>
      </w:r>
    </w:p>
    <w:p w:rsidR="00227E72" w:rsidRDefault="00227E72" w:rsidP="00227E72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sz w:val="24"/>
        </w:rPr>
      </w:pPr>
    </w:p>
    <w:bookmarkEnd w:id="0"/>
    <w:p w:rsidR="00227E72" w:rsidRDefault="00227E72" w:rsidP="00227E72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Reference for supplementary Table 1</w:t>
      </w:r>
    </w:p>
    <w:bookmarkEnd w:id="1"/>
    <w:p w:rsidR="00227E72" w:rsidRDefault="00227E72" w:rsidP="00227E72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Bein T, Haerty W, Haller M, Forst H, Pratschke E. Organ selection in intensive care: transplantation of a liver allograft, including calcified cyst of Echinococcus granularis. Intensive Care Med 1993;19(3):182. doi: 10.1007/BF01720539. PMID: 8315130. </w:t>
      </w:r>
    </w:p>
    <w:p w:rsidR="00227E72" w:rsidRDefault="00227E72" w:rsidP="00227E72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Jiménez Romero C, Moreno González E, García García I, Loinaz Segurola C, González Pinto I, Gómez Sanz R, </w:t>
      </w:r>
      <w:r>
        <w:rPr>
          <w:rFonts w:ascii="Times New Roman" w:hAnsi="Times New Roman" w:cs="Times New Roman" w:hint="eastAsia"/>
          <w:bCs/>
          <w:i/>
          <w:iCs/>
          <w:sz w:val="24"/>
        </w:rPr>
        <w:t>et al</w:t>
      </w:r>
      <w:r>
        <w:rPr>
          <w:rFonts w:ascii="Times New Roman" w:hAnsi="Times New Roman" w:cs="Times New Roman"/>
          <w:bCs/>
          <w:sz w:val="24"/>
        </w:rPr>
        <w:t>. Successful transplantation of a liver graft with a calcified hydatid cyst after back-table resection. Transplantation 1995;60(8):883-</w:t>
      </w:r>
      <w:r>
        <w:rPr>
          <w:rFonts w:ascii="Times New Roman" w:hAnsi="Times New Roman" w:cs="Times New Roman" w:hint="eastAsia"/>
          <w:bCs/>
          <w:sz w:val="24"/>
        </w:rPr>
        <w:t>88</w:t>
      </w:r>
      <w:r>
        <w:rPr>
          <w:rFonts w:ascii="Times New Roman" w:hAnsi="Times New Roman" w:cs="Times New Roman"/>
          <w:bCs/>
          <w:sz w:val="24"/>
        </w:rPr>
        <w:t xml:space="preserve">4. PMID: 7482754. </w:t>
      </w:r>
    </w:p>
    <w:p w:rsidR="00227E72" w:rsidRDefault="00227E72" w:rsidP="00227E72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Eris C, Akbulut S, Sakcak I, Kayaalp C, Ara C, Yilmaz S. Liver transplant with a marginal donor graft containing a hydatid cyst--a case report. Transplant Proc 2013;45(2):828-</w:t>
      </w:r>
      <w:r>
        <w:rPr>
          <w:rFonts w:ascii="Times New Roman" w:hAnsi="Times New Roman" w:cs="Times New Roman" w:hint="eastAsia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>30. doi: 10.1016/j.transproceed.2012.11.002. PMID: 23498829.</w:t>
      </w:r>
    </w:p>
    <w:p w:rsidR="00227E72" w:rsidRDefault="00227E72" w:rsidP="00227E72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Patrono D, Tandoi F, Rizza G, Catalano G, Mirabella S, Celoria P, </w:t>
      </w:r>
      <w:r>
        <w:rPr>
          <w:rFonts w:ascii="Times New Roman" w:hAnsi="Times New Roman" w:cs="Times New Roman" w:hint="eastAsia"/>
          <w:bCs/>
          <w:i/>
          <w:iCs/>
          <w:sz w:val="24"/>
        </w:rPr>
        <w:t>et al</w:t>
      </w:r>
      <w:r>
        <w:rPr>
          <w:rFonts w:ascii="Times New Roman" w:hAnsi="Times New Roman" w:cs="Times New Roman"/>
          <w:bCs/>
          <w:sz w:val="24"/>
        </w:rPr>
        <w:t xml:space="preserve">. Liver transplantation with an uncommon full right hemiliver graft after hydatid cysts resection: Case report and review of the literature. Transpl Infect Dis 2017;19(3). doi: </w:t>
      </w:r>
      <w:r>
        <w:rPr>
          <w:rFonts w:ascii="Times New Roman" w:hAnsi="Times New Roman" w:cs="Times New Roman"/>
          <w:bCs/>
          <w:sz w:val="24"/>
        </w:rPr>
        <w:lastRenderedPageBreak/>
        <w:t>10.1111/tid.12685. PMID: 28244199.</w:t>
      </w:r>
    </w:p>
    <w:bookmarkEnd w:id="2"/>
    <w:p w:rsidR="00F12FDB" w:rsidRDefault="00F12FDB"/>
    <w:sectPr w:rsidR="00F12F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4B4B"/>
    <w:multiLevelType w:val="multilevel"/>
    <w:tmpl w:val="5EBD4B4B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227E72"/>
    <w:rsid w:val="00227E72"/>
    <w:rsid w:val="00F1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E7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27E72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4"/>
      <w:lang w:eastAsia="zh-CN"/>
    </w:rPr>
  </w:style>
  <w:style w:type="table" w:customStyle="1" w:styleId="21">
    <w:name w:val="清单表 21"/>
    <w:basedOn w:val="TableNormal"/>
    <w:uiPriority w:val="47"/>
    <w:rsid w:val="00227E72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2025-07-09T00:09:00Z</dcterms:created>
  <dcterms:modified xsi:type="dcterms:W3CDTF">2025-07-09T00:09:00Z</dcterms:modified>
</cp:coreProperties>
</file>