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30" w:type="dxa"/>
        <w:tblInd w:w="-108" w:type="dxa"/>
        <w:tblLook w:val="04A0" w:firstRow="1" w:lastRow="0" w:firstColumn="1" w:lastColumn="0" w:noHBand="0" w:noVBand="1"/>
      </w:tblPr>
      <w:tblGrid>
        <w:gridCol w:w="4374"/>
        <w:gridCol w:w="2076"/>
        <w:gridCol w:w="384"/>
        <w:gridCol w:w="1976"/>
        <w:gridCol w:w="1090"/>
        <w:gridCol w:w="1418"/>
        <w:gridCol w:w="1285"/>
        <w:gridCol w:w="1327"/>
      </w:tblGrid>
      <w:tr w:rsidR="00192536" w:rsidRPr="00130BED" w14:paraId="794396E9" w14:textId="77777777" w:rsidTr="002F7640">
        <w:trPr>
          <w:trHeight w:val="464"/>
        </w:trPr>
        <w:tc>
          <w:tcPr>
            <w:tcW w:w="1390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3C14A14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EE0000"/>
                <w:kern w:val="0"/>
                <w:sz w:val="20"/>
                <w:szCs w:val="20"/>
              </w:rPr>
            </w:pPr>
            <w:bookmarkStart w:id="0" w:name="_Hlk219125178"/>
            <w:r w:rsidRPr="00130BED">
              <w:rPr>
                <w:rFonts w:ascii="Times New Roman" w:eastAsia="DengXian" w:hAnsi="Times New Roman" w:cs="Times New Roman"/>
                <w:b/>
                <w:bCs/>
                <w:color w:val="EE0000"/>
                <w:kern w:val="0"/>
                <w:sz w:val="20"/>
                <w:szCs w:val="20"/>
              </w:rPr>
              <w:t>Supplementary Table 4.</w:t>
            </w:r>
            <w:bookmarkEnd w:id="0"/>
            <w:r w:rsidRPr="00130BED">
              <w:rPr>
                <w:rFonts w:ascii="Times New Roman" w:eastAsia="DengXian" w:hAnsi="Times New Roman" w:cs="Times New Roman"/>
                <w:b/>
                <w:bCs/>
                <w:color w:val="EE0000"/>
                <w:kern w:val="0"/>
                <w:sz w:val="20"/>
                <w:szCs w:val="20"/>
              </w:rPr>
              <w:t xml:space="preserve"> Multivariate Logistic Regression Analysis of Factors Associated with HBeAg serological clearance</w:t>
            </w:r>
          </w:p>
        </w:tc>
      </w:tr>
      <w:tr w:rsidR="00192536" w:rsidRPr="00130BED" w14:paraId="2CB46836" w14:textId="77777777" w:rsidTr="002F7640">
        <w:trPr>
          <w:trHeight w:val="282"/>
        </w:trPr>
        <w:tc>
          <w:tcPr>
            <w:tcW w:w="43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16AF2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20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709AF6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Regression Coefficient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5890F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Standard Error</w:t>
            </w:r>
          </w:p>
        </w:tc>
        <w:tc>
          <w:tcPr>
            <w:tcW w:w="10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7FF68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Wald χ2 </w:t>
            </w:r>
          </w:p>
        </w:tc>
        <w:tc>
          <w:tcPr>
            <w:tcW w:w="14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E1564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i/>
                <w:iCs/>
                <w:color w:val="EE0000"/>
                <w:kern w:val="0"/>
                <w:sz w:val="20"/>
                <w:szCs w:val="20"/>
              </w:rPr>
              <w:t>p </w:t>
            </w:r>
          </w:p>
        </w:tc>
        <w:tc>
          <w:tcPr>
            <w:tcW w:w="12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78AA7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OR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EDCAB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OR 95% CI</w:t>
            </w:r>
          </w:p>
        </w:tc>
      </w:tr>
      <w:tr w:rsidR="00192536" w:rsidRPr="00130BED" w14:paraId="6633F0AD" w14:textId="77777777" w:rsidTr="002F7640">
        <w:trPr>
          <w:trHeight w:val="282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E9C29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Group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9A1BD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ECF7E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AC3C1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5.164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498AE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0.0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76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235AF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258C2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 xml:space="preserve">　</w:t>
            </w:r>
          </w:p>
        </w:tc>
      </w:tr>
      <w:tr w:rsidR="00192536" w:rsidRPr="00130BED" w14:paraId="7B326E85" w14:textId="77777777" w:rsidTr="002F7640">
        <w:trPr>
          <w:trHeight w:val="282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513C2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Group2(Ref: Group 1)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3DD6E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462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2AAC9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0.48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EDB75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0.896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C37C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344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95DCA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1.588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FF4E3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610</w:t>
            </w: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~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4.136</w:t>
            </w:r>
          </w:p>
        </w:tc>
      </w:tr>
      <w:tr w:rsidR="00192536" w:rsidRPr="00130BED" w14:paraId="1C3B0D2A" w14:textId="77777777" w:rsidTr="002F7640">
        <w:trPr>
          <w:trHeight w:val="282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6DE26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Group3(Ref: Group 1)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53F21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852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C155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816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CCCBE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5.154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8052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0.0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2A7D3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6.373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D21EB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288</w:t>
            </w: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~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31.531</w:t>
            </w:r>
          </w:p>
        </w:tc>
      </w:tr>
      <w:tr w:rsidR="00192536" w:rsidRPr="00130BED" w14:paraId="28DDB338" w14:textId="77777777" w:rsidTr="002F7640">
        <w:trPr>
          <w:trHeight w:val="777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4C11A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Baseline HBsAg &lt;1500 IU/mL (Ref: ≥1500 IU/mL)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0C8CE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0.5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59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44FD2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0.45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6DB9F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41C4E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0.221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EC95C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1.749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F8CEA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715</w:t>
            </w: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~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4.282</w:t>
            </w:r>
          </w:p>
        </w:tc>
      </w:tr>
      <w:tr w:rsidR="00192536" w:rsidRPr="00130BED" w14:paraId="3AA9BBDE" w14:textId="77777777" w:rsidTr="002F7640">
        <w:trPr>
          <w:trHeight w:val="282"/>
        </w:trPr>
        <w:tc>
          <w:tcPr>
            <w:tcW w:w="43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C312663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Basline ALT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49A82E6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-0.003</w:t>
            </w: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69C90B7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F688A2F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0.722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889EE6A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0.396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E8C1AF9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0.997</w:t>
            </w: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FF37A5A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0.990</w:t>
            </w: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~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1.004</w:t>
            </w:r>
          </w:p>
        </w:tc>
      </w:tr>
      <w:tr w:rsidR="00192536" w:rsidRPr="00130BED" w14:paraId="00419F5A" w14:textId="77777777" w:rsidTr="002F7640">
        <w:trPr>
          <w:trHeight w:val="282"/>
        </w:trPr>
        <w:tc>
          <w:tcPr>
            <w:tcW w:w="43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C990027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APRI at Month 3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4A79D1A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-0.0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D42CC7C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0.1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2</w:t>
            </w: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6AB62F3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001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7FFDD12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977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DD0B861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0.996</w:t>
            </w: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B3E4DF5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779</w:t>
            </w: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 xml:space="preserve"> ~ 1.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274</w:t>
            </w:r>
          </w:p>
        </w:tc>
      </w:tr>
      <w:tr w:rsidR="00192536" w:rsidRPr="00130BED" w14:paraId="1B1923B1" w14:textId="77777777" w:rsidTr="002F7640">
        <w:trPr>
          <w:trHeight w:val="333"/>
        </w:trPr>
        <w:tc>
          <w:tcPr>
            <w:tcW w:w="43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08AF005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HBeAg at Month 6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D26F618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-0.003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ABBA565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BC51A1E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5.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679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3879F48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0.01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4F65158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0.997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89B5BB0" w14:textId="77777777" w:rsidR="00192536" w:rsidRPr="00130BED" w:rsidRDefault="0019253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0.99</w:t>
            </w:r>
            <w:r w:rsidRPr="00130BED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5</w:t>
            </w:r>
            <w:r w:rsidRPr="00130BED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 xml:space="preserve"> ~ 0.999</w:t>
            </w:r>
          </w:p>
        </w:tc>
      </w:tr>
      <w:tr w:rsidR="00192536" w:rsidRPr="00BF1C0F" w14:paraId="3CBBDC3E" w14:textId="77777777" w:rsidTr="002F7640">
        <w:trPr>
          <w:trHeight w:val="282"/>
        </w:trPr>
        <w:tc>
          <w:tcPr>
            <w:tcW w:w="1390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EBFC" w14:textId="77777777" w:rsidR="00192536" w:rsidRPr="00BF1C0F" w:rsidRDefault="0019253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The outcome was HBeAg</w:t>
            </w:r>
            <w:r w:rsidRPr="00BF1C0F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clearance at 24 months (coded as 1 for seroconverted and 0 for not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192536" w:rsidRPr="00D94BE8" w14:paraId="4A24F18D" w14:textId="77777777" w:rsidTr="002F7640">
        <w:trPr>
          <w:trHeight w:val="282"/>
        </w:trPr>
        <w:tc>
          <w:tcPr>
            <w:tcW w:w="139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D0B1F" w14:textId="77777777" w:rsidR="00192536" w:rsidRPr="00BF1C0F" w:rsidRDefault="0019253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Nagelkerke </w:t>
            </w:r>
            <w:r w:rsidRPr="00BF1C0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R² 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= 0.2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24</w:t>
            </w:r>
          </w:p>
          <w:p w14:paraId="3FA05A83" w14:textId="77777777" w:rsidR="00192536" w:rsidRDefault="0019253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05BD1A8D" w14:textId="77777777" w:rsidR="00192536" w:rsidRDefault="0019253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2B04739" w14:textId="77777777" w:rsidR="00192536" w:rsidRDefault="0019253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7FA931CA" w14:textId="77777777" w:rsidR="00192536" w:rsidRDefault="0019253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18E81BA7" w14:textId="77777777" w:rsidR="00192536" w:rsidRDefault="0019253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1B79A685" w14:textId="77777777" w:rsidR="00192536" w:rsidRDefault="0019253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24F5EF6B" w14:textId="77777777" w:rsidR="00192536" w:rsidRDefault="0019253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09EEB111" w14:textId="77777777" w:rsidR="00192536" w:rsidRDefault="0019253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250BA0CF" w14:textId="77777777" w:rsidR="00192536" w:rsidRPr="00D94BE8" w:rsidRDefault="0019253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</w:tbl>
    <w:p w14:paraId="6D447ADD" w14:textId="77777777" w:rsidR="0067415F" w:rsidRDefault="0067415F"/>
    <w:sectPr w:rsidR="0067415F" w:rsidSect="00CD5264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C2"/>
    <w:rsid w:val="00192536"/>
    <w:rsid w:val="002930C2"/>
    <w:rsid w:val="004244E6"/>
    <w:rsid w:val="0067415F"/>
    <w:rsid w:val="00742F6A"/>
    <w:rsid w:val="00C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08E38-CD7D-4CDB-B904-96A2F060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0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0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0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0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2026-06-15T09:58:00Z</dcterms:created>
  <dcterms:modified xsi:type="dcterms:W3CDTF">2026-06-15T09:58:00Z</dcterms:modified>
</cp:coreProperties>
</file>