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27" w:rsidRPr="001C2116" w:rsidRDefault="00762F27" w:rsidP="00762F27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1C2116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Characteristics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patients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stratified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by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statin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prescribing</w:t>
      </w:r>
    </w:p>
    <w:tbl>
      <w:tblPr>
        <w:tblStyle w:val="TableGrid11"/>
        <w:tblW w:w="969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3" w:type="dxa"/>
        </w:tblCellMar>
        <w:tblLook w:val="04A0"/>
      </w:tblPr>
      <w:tblGrid>
        <w:gridCol w:w="4116"/>
        <w:gridCol w:w="992"/>
        <w:gridCol w:w="1231"/>
        <w:gridCol w:w="788"/>
        <w:gridCol w:w="1335"/>
        <w:gridCol w:w="1229"/>
      </w:tblGrid>
      <w:tr w:rsidR="00762F27" w:rsidRPr="00C84257" w:rsidTr="0081651C">
        <w:tc>
          <w:tcPr>
            <w:tcW w:w="4116" w:type="dxa"/>
            <w:shd w:val="clear" w:color="auto" w:fill="D9D9D9" w:themeFill="background1" w:themeFillShade="D9"/>
            <w:vAlign w:val="center"/>
          </w:tcPr>
          <w:p w:rsidR="00762F27" w:rsidRPr="00E355FC" w:rsidRDefault="00762F27" w:rsidP="0081651C">
            <w:pPr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Characteristics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E355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273)</w:t>
            </w:r>
          </w:p>
        </w:tc>
        <w:tc>
          <w:tcPr>
            <w:tcW w:w="2220" w:type="dxa"/>
            <w:gridSpan w:val="2"/>
            <w:shd w:val="clear" w:color="auto" w:fill="D9D9D9" w:themeFill="background1" w:themeFillShade="D9"/>
            <w:vAlign w:val="center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Statins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E355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88)</w:t>
            </w:r>
          </w:p>
        </w:tc>
        <w:tc>
          <w:tcPr>
            <w:tcW w:w="2123" w:type="dxa"/>
            <w:gridSpan w:val="2"/>
            <w:shd w:val="clear" w:color="auto" w:fill="D9D9D9" w:themeFill="background1" w:themeFillShade="D9"/>
            <w:vAlign w:val="center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statins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E355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185)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3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-value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59.1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53.5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0.386ᴭ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ethnic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25.9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0.229ᴭ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(IQR)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55-68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43-62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Ʊ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0.068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92.4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18.8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89.2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20.9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0.250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kg/m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(IQR)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31.4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28.4-36.3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30.6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26.9-35.2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0.193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kg/m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67.0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58.4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0.170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¶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62.5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29.7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HbA1c,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mmol/mol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49.3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17.4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40.3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IU/L,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42.0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62.7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IU/L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41.4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57.7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41.6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8.6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0.222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  <w:tab w:val="left" w:pos="174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329.8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60.1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314.2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56.2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0.038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  <w:r w:rsidRPr="004332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ᴮ*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27.3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0.064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Smoker,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18.4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0.221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D9D9D9" w:themeFill="background1" w:themeFillShade="D9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Fibrosis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39.8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42.2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0.708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kPa-8.2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15.9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23.8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0.137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kPa-9.6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(9.7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kPa-13.5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0.619ᴭ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355FC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15.9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0.868ᴭ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5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lastRenderedPageBreak/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44.3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34.1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0.101ᴭ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5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27.3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28.6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0.868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D9D9D9" w:themeFill="background1" w:themeFillShade="D9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Steatosis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23.9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38.4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0.018ᴭ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355FC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20.5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0.814ᴭ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355FC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0.635</w:t>
            </w: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◊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355FC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35.7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0.009ᴭ</w:t>
            </w:r>
          </w:p>
        </w:tc>
      </w:tr>
      <w:tr w:rsidR="00762F27" w:rsidRPr="00C84257" w:rsidTr="0081651C">
        <w:trPr>
          <w:trHeight w:val="225"/>
        </w:trPr>
        <w:tc>
          <w:tcPr>
            <w:tcW w:w="4116" w:type="dxa"/>
            <w:shd w:val="clear" w:color="auto" w:fill="D9D9D9" w:themeFill="background1" w:themeFillShade="D9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1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Medication: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Antidepressants,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36.4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23.2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0.023ᴭ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Antihypertensives,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79.5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24.9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0.0001ᴭ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5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blockers,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14.8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0.005ᴭ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5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antihypertensives,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19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79.5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62F27" w:rsidRPr="00C84257" w:rsidTr="0081651C">
        <w:tc>
          <w:tcPr>
            <w:tcW w:w="4116" w:type="dxa"/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Anticoagulants,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31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28.4</w:t>
            </w:r>
          </w:p>
        </w:tc>
        <w:tc>
          <w:tcPr>
            <w:tcW w:w="788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35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1229" w:type="dxa"/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0.0001ᴭ</w:t>
            </w:r>
          </w:p>
        </w:tc>
      </w:tr>
      <w:tr w:rsidR="00762F27" w:rsidRPr="00C84257" w:rsidTr="0081651C">
        <w:trPr>
          <w:trHeight w:val="248"/>
        </w:trPr>
        <w:tc>
          <w:tcPr>
            <w:tcW w:w="41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F27" w:rsidRPr="00E355FC" w:rsidRDefault="00762F27" w:rsidP="0081651C">
            <w:pPr>
              <w:tabs>
                <w:tab w:val="left" w:pos="670"/>
              </w:tabs>
              <w:snapToGrid w:val="0"/>
              <w:spacing w:line="480" w:lineRule="auto"/>
              <w:ind w:left="-89" w:right="-1108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GLP-1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agonist,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F27" w:rsidRPr="00E355FC" w:rsidRDefault="00762F27" w:rsidP="0081651C">
            <w:pPr>
              <w:tabs>
                <w:tab w:val="left" w:pos="549"/>
              </w:tabs>
              <w:snapToGrid w:val="0"/>
              <w:spacing w:line="480" w:lineRule="auto"/>
              <w:ind w:left="-136" w:right="-11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6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1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F27" w:rsidRPr="00E355FC" w:rsidRDefault="00762F27" w:rsidP="0081651C">
            <w:pPr>
              <w:snapToGrid w:val="0"/>
              <w:spacing w:line="480" w:lineRule="auto"/>
              <w:ind w:left="-136" w:right="-10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E355F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◊</w:t>
            </w:r>
          </w:p>
        </w:tc>
      </w:tr>
    </w:tbl>
    <w:p w:rsidR="00762F27" w:rsidRPr="001C2116" w:rsidRDefault="00762F27" w:rsidP="00762F27">
      <w:pPr>
        <w:tabs>
          <w:tab w:val="left" w:pos="998"/>
        </w:tabs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</w:rPr>
        <w:t>ᴭp-values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chi-square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independence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alpha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5%.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  <w:vertAlign w:val="superscript"/>
        </w:rPr>
        <w:t>Ʊ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p-values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Mann-Whitney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nonparametric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alternative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sample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t-test.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ᴥ</w:t>
      </w:r>
      <w:r w:rsidRPr="001C2116">
        <w:rPr>
          <w:rFonts w:ascii="Times New Roman" w:hAnsi="Times New Roman" w:cs="Times New Roman"/>
          <w:sz w:val="24"/>
          <w:szCs w:val="24"/>
        </w:rPr>
        <w:t>p-values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two-tailed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t-test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95%.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  <w:vertAlign w:val="superscript"/>
        </w:rPr>
        <w:t>¶</w:t>
      </w:r>
      <w:r w:rsidRPr="001C2116">
        <w:rPr>
          <w:rFonts w:ascii="Times New Roman" w:hAnsi="Times New Roman" w:cs="Times New Roman"/>
          <w:sz w:val="24"/>
          <w:szCs w:val="24"/>
        </w:rPr>
        <w:t>Diabetes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HbA1c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&gt;48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mmol/mol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record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diabetes.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1C2116"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8-14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(harmful/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hazardous)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disorders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(AUDIT);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C2116">
        <w:rPr>
          <w:rFonts w:ascii="Times New Roman" w:hAnsi="Times New Roman" w:cs="Times New Roman"/>
          <w:sz w:val="24"/>
          <w:szCs w:val="24"/>
        </w:rPr>
        <w:t>0.7%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</w:t>
      </w:r>
      <w:r w:rsidRPr="001C2116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declined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AUDIT;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◊</w:t>
      </w:r>
      <w:r w:rsidRPr="001C2116">
        <w:rPr>
          <w:rFonts w:ascii="Times New Roman" w:hAnsi="Times New Roman" w:cs="Times New Roman"/>
          <w:sz w:val="24"/>
          <w:szCs w:val="24"/>
        </w:rPr>
        <w:t>Fisher’s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exact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association.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IQR,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interquartile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range;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deviation;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kilogram;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index;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kg/m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kilogram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square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meter;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HbA1c,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glycated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hemoglobin;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mmol/mol,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millimoles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mole;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lastRenderedPageBreak/>
        <w:t>alanine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transaminase;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IU/L,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units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liter;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VCTE,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vibration-controlled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transient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elastography;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kPa,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kilopascals;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CAP,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attenuation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parameter;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dB/m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decibel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square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meter;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moderate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advanced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fibrosis/cirrhosis;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steatosis;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steatosis;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moderate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steatosis;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steatosis;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GLP-1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agonist,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glucagon-like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peptide-1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receptor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agonist;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AIIR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blockers,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angiotensin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receptor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blockers.</w:t>
      </w:r>
    </w:p>
    <w:p w:rsidR="00762F27" w:rsidRPr="001C2116" w:rsidRDefault="00762F27" w:rsidP="00762F27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2116">
        <w:rPr>
          <w:rFonts w:ascii="Times New Roman" w:hAnsi="Times New Roman" w:cs="Times New Roman"/>
          <w:sz w:val="24"/>
          <w:szCs w:val="24"/>
        </w:rPr>
        <w:t>Saunders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JB,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Aasland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Babor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al</w:t>
      </w:r>
      <w:r w:rsidRPr="001C21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Disorders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(AUDIT):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Collaborative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Detection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Harmful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Consumption--II.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Addiction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1993;88(6):791-804.</w:t>
      </w:r>
    </w:p>
    <w:p w:rsidR="008A7E25" w:rsidRDefault="00762F27" w:rsidP="00762F27"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116">
        <w:rPr>
          <w:rFonts w:ascii="Times New Roman" w:hAnsi="Times New Roman" w:cs="Times New Roman"/>
          <w:sz w:val="24"/>
          <w:szCs w:val="24"/>
        </w:rPr>
        <w:t>https://auditscreen.org/about/scoring-audit</w:t>
      </w:r>
    </w:p>
    <w:sectPr w:rsidR="008A7E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>
    <w:useFELayout/>
  </w:compat>
  <w:rsids>
    <w:rsidRoot w:val="00762F27"/>
    <w:rsid w:val="00762F27"/>
    <w:rsid w:val="008A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39"/>
    <w:rsid w:val="00762F2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62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2023-02-14T08:05:00Z</dcterms:created>
  <dcterms:modified xsi:type="dcterms:W3CDTF">2023-02-14T08:05:00Z</dcterms:modified>
</cp:coreProperties>
</file>