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19" w:rsidRPr="006720DB" w:rsidRDefault="00072C19" w:rsidP="00072C19">
      <w:pPr>
        <w:spacing w:line="480" w:lineRule="auto"/>
        <w:rPr>
          <w:rFonts w:ascii="Times New Roman" w:eastAsia="宋体" w:hAnsi="Times New Roman"/>
          <w:b/>
          <w:bCs/>
          <w:sz w:val="24"/>
        </w:rPr>
      </w:pPr>
      <w:r w:rsidRPr="006720DB">
        <w:rPr>
          <w:rFonts w:ascii="Times New Roman" w:eastAsia="宋体" w:hAnsi="Times New Roman" w:hint="eastAsia"/>
          <w:b/>
          <w:bCs/>
          <w:noProof/>
          <w:sz w:val="24"/>
        </w:rPr>
        <w:drawing>
          <wp:inline distT="0" distB="0" distL="114300" distR="114300">
            <wp:extent cx="5268595" cy="5765165"/>
            <wp:effectExtent l="0" t="0" r="8255" b="6985"/>
            <wp:docPr id="4" name="图片 4" descr="figur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S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6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19" w:rsidRPr="006720DB" w:rsidRDefault="00072C19" w:rsidP="00072C19">
      <w:pPr>
        <w:spacing w:line="480" w:lineRule="auto"/>
        <w:rPr>
          <w:rFonts w:ascii="Times New Roman" w:eastAsia="宋体" w:hAnsi="Times New Roman"/>
          <w:sz w:val="24"/>
        </w:rPr>
      </w:pPr>
      <w:r w:rsidRPr="006720DB">
        <w:rPr>
          <w:rFonts w:ascii="Times New Roman" w:eastAsia="宋体" w:hAnsi="Times New Roman"/>
          <w:b/>
          <w:bCs/>
          <w:sz w:val="24"/>
        </w:rPr>
        <w:t xml:space="preserve">Supplementary Figure </w:t>
      </w:r>
      <w:r w:rsidRPr="006720DB">
        <w:rPr>
          <w:rFonts w:ascii="Times New Roman" w:eastAsia="宋体" w:hAnsi="Times New Roman" w:hint="eastAsia"/>
          <w:b/>
          <w:bCs/>
          <w:sz w:val="24"/>
        </w:rPr>
        <w:t>4</w:t>
      </w:r>
      <w:r w:rsidRPr="006720DB">
        <w:rPr>
          <w:rFonts w:ascii="Times New Roman" w:eastAsia="宋体" w:hAnsi="Times New Roman"/>
          <w:b/>
          <w:bCs/>
          <w:sz w:val="24"/>
        </w:rPr>
        <w:t>.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A</w:t>
      </w:r>
      <w:r w:rsidRPr="006720DB">
        <w:rPr>
          <w:rFonts w:ascii="Times New Roman" w:eastAsia="宋体" w:hAnsi="Times New Roman" w:hint="eastAsia"/>
          <w:sz w:val="24"/>
        </w:rPr>
        <w:t xml:space="preserve">) </w:t>
      </w:r>
      <w:r w:rsidRPr="006720DB">
        <w:rPr>
          <w:rFonts w:ascii="Times New Roman" w:eastAsia="宋体" w:hAnsi="Times New Roman"/>
          <w:sz w:val="24"/>
        </w:rPr>
        <w:t xml:space="preserve">Western blotting analysis of </w:t>
      </w:r>
      <w:r w:rsidRPr="006720DB">
        <w:rPr>
          <w:rFonts w:ascii="Times New Roman" w:eastAsia="宋体" w:hAnsi="Times New Roman" w:hint="eastAsia"/>
          <w:sz w:val="24"/>
        </w:rPr>
        <w:t>BCKDH</w:t>
      </w:r>
      <w:r w:rsidRPr="006720DB">
        <w:rPr>
          <w:rFonts w:ascii="Times New Roman" w:eastAsia="宋体" w:hAnsi="Times New Roman"/>
          <w:sz w:val="24"/>
        </w:rPr>
        <w:t xml:space="preserve"> protein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 xml:space="preserve">expression in </w:t>
      </w:r>
      <w:r w:rsidRPr="006720DB">
        <w:rPr>
          <w:rFonts w:ascii="Times New Roman" w:eastAsia="宋体" w:hAnsi="Times New Roman" w:hint="eastAsia"/>
          <w:sz w:val="24"/>
        </w:rPr>
        <w:t>C2C12 cells</w:t>
      </w:r>
      <w:r w:rsidRPr="006720DB">
        <w:rPr>
          <w:rFonts w:ascii="Times New Roman" w:eastAsia="宋体" w:hAnsi="Times New Roman"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infected</w:t>
      </w:r>
      <w:r w:rsidRPr="006720DB">
        <w:rPr>
          <w:rFonts w:ascii="Times New Roman" w:eastAsia="宋体" w:hAnsi="Times New Roman"/>
          <w:sz w:val="24"/>
        </w:rPr>
        <w:t xml:space="preserve"> with </w:t>
      </w:r>
      <w:r w:rsidRPr="006720DB">
        <w:rPr>
          <w:rFonts w:ascii="Times New Roman" w:eastAsia="宋体" w:hAnsi="Times New Roman" w:hint="eastAsia"/>
          <w:sz w:val="24"/>
        </w:rPr>
        <w:t>LV-EV</w:t>
      </w:r>
      <w:r w:rsidRPr="006720DB">
        <w:rPr>
          <w:rFonts w:ascii="Times New Roman" w:eastAsia="宋体" w:hAnsi="Times New Roman"/>
          <w:sz w:val="24"/>
        </w:rPr>
        <w:t xml:space="preserve"> or </w:t>
      </w:r>
      <w:r w:rsidRPr="006720DB">
        <w:rPr>
          <w:rFonts w:ascii="Times New Roman" w:eastAsia="宋体" w:hAnsi="Times New Roman" w:hint="eastAsia"/>
          <w:sz w:val="24"/>
        </w:rPr>
        <w:t>LV-BCKDH.</w:t>
      </w:r>
      <w:r w:rsidRPr="006720DB">
        <w:rPr>
          <w:rFonts w:ascii="Times New Roman" w:eastAsia="宋体" w:hAnsi="Times New Roman"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B</w:t>
      </w:r>
      <w:r w:rsidRPr="006720DB">
        <w:rPr>
          <w:rFonts w:ascii="Times New Roman" w:eastAsia="宋体" w:hAnsi="Times New Roman" w:hint="eastAsia"/>
          <w:sz w:val="24"/>
        </w:rPr>
        <w:t xml:space="preserve">) </w:t>
      </w:r>
      <w:r w:rsidRPr="006720DB">
        <w:rPr>
          <w:rFonts w:ascii="Times New Roman" w:eastAsia="宋体" w:hAnsi="Times New Roman"/>
          <w:sz w:val="24"/>
        </w:rPr>
        <w:t>Relative glutamine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 xml:space="preserve">levels in </w:t>
      </w:r>
      <w:r w:rsidRPr="006720DB">
        <w:rPr>
          <w:rFonts w:ascii="Times New Roman" w:eastAsia="宋体" w:hAnsi="Times New Roman" w:hint="eastAsia"/>
          <w:sz w:val="24"/>
        </w:rPr>
        <w:t xml:space="preserve">supernatant </w:t>
      </w:r>
      <w:r w:rsidRPr="006720DB">
        <w:rPr>
          <w:rFonts w:ascii="Times New Roman" w:eastAsia="宋体" w:hAnsi="Times New Roman"/>
          <w:sz w:val="24"/>
        </w:rPr>
        <w:t xml:space="preserve">after co-culture with LV-BCKDH- or LV-EV-infected </w:t>
      </w:r>
      <w:r w:rsidRPr="006720DB">
        <w:rPr>
          <w:rFonts w:ascii="Times New Roman" w:eastAsia="宋体" w:hAnsi="Times New Roman"/>
          <w:i/>
          <w:iCs/>
          <w:sz w:val="24"/>
        </w:rPr>
        <w:t>C2C12</w:t>
      </w:r>
      <w:r w:rsidRPr="006720DB">
        <w:rPr>
          <w:rFonts w:ascii="Times New Roman" w:eastAsia="宋体" w:hAnsi="Times New Roman"/>
          <w:sz w:val="24"/>
        </w:rPr>
        <w:t xml:space="preserve"> cells (n=6).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(C) </w:t>
      </w:r>
      <w:r w:rsidRPr="006720DB">
        <w:rPr>
          <w:rFonts w:ascii="Times New Roman" w:eastAsia="宋体" w:hAnsi="Times New Roman" w:cs="Times New Roman"/>
          <w:sz w:val="24"/>
        </w:rPr>
        <w:t xml:space="preserve">Relative mRNA expression of </w:t>
      </w:r>
      <w:r w:rsidRPr="006720DB">
        <w:rPr>
          <w:rFonts w:ascii="Times New Roman" w:eastAsia="宋体" w:hAnsi="Times New Roman" w:cs="Times New Roman" w:hint="eastAsia"/>
          <w:sz w:val="24"/>
        </w:rPr>
        <w:t>glutamine</w:t>
      </w:r>
      <w:r w:rsidRPr="006720DB">
        <w:rPr>
          <w:rFonts w:ascii="Times New Roman" w:eastAsia="宋体" w:hAnsi="Times New Roman" w:cs="Times New Roman"/>
          <w:sz w:val="24"/>
        </w:rPr>
        <w:t xml:space="preserve"> transporters in </w:t>
      </w:r>
      <w:r w:rsidRPr="006720DB">
        <w:rPr>
          <w:rFonts w:ascii="Times New Roman" w:eastAsia="宋体" w:hAnsi="Times New Roman" w:cs="Times New Roman" w:hint="eastAsia"/>
          <w:sz w:val="24"/>
        </w:rPr>
        <w:t>liver</w:t>
      </w:r>
      <w:r w:rsidRPr="006720DB">
        <w:rPr>
          <w:rFonts w:ascii="Times New Roman" w:eastAsia="宋体" w:hAnsi="Times New Roman" w:cs="Times New Roman"/>
          <w:sz w:val="24"/>
        </w:rPr>
        <w:t xml:space="preserve"> of mice from different groups (n=6).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 (D-E) </w:t>
      </w:r>
      <w:r w:rsidRPr="006720DB">
        <w:rPr>
          <w:rFonts w:ascii="Times New Roman" w:eastAsia="宋体" w:hAnsi="Times New Roman"/>
          <w:sz w:val="24"/>
        </w:rPr>
        <w:t xml:space="preserve">Western blotting analysis of </w:t>
      </w:r>
      <w:r w:rsidRPr="006720DB">
        <w:rPr>
          <w:rFonts w:ascii="Times New Roman" w:eastAsia="宋体" w:hAnsi="Times New Roman" w:hint="eastAsia"/>
          <w:sz w:val="24"/>
        </w:rPr>
        <w:t>ASCT2</w:t>
      </w:r>
      <w:r w:rsidRPr="006720DB">
        <w:rPr>
          <w:rFonts w:ascii="Times New Roman" w:eastAsia="宋体" w:hAnsi="Times New Roman"/>
          <w:sz w:val="24"/>
        </w:rPr>
        <w:t xml:space="preserve"> protein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 xml:space="preserve">expression in </w:t>
      </w:r>
      <w:r w:rsidRPr="006720DB">
        <w:rPr>
          <w:rFonts w:ascii="Times New Roman" w:eastAsia="宋体" w:hAnsi="Times New Roman" w:hint="eastAsia"/>
          <w:sz w:val="24"/>
        </w:rPr>
        <w:t xml:space="preserve">liver tissue of treated mice </w:t>
      </w:r>
      <w:r w:rsidRPr="006720DB">
        <w:rPr>
          <w:rFonts w:ascii="Times New Roman" w:eastAsia="宋体" w:hAnsi="Times New Roman"/>
          <w:sz w:val="24"/>
        </w:rPr>
        <w:t>(n=</w:t>
      </w:r>
      <w:r w:rsidRPr="006720DB">
        <w:rPr>
          <w:rFonts w:ascii="Times New Roman" w:eastAsia="宋体" w:hAnsi="Times New Roman" w:hint="eastAsia"/>
          <w:sz w:val="24"/>
        </w:rPr>
        <w:t>3</w:t>
      </w:r>
      <w:r w:rsidRPr="006720DB">
        <w:rPr>
          <w:rFonts w:ascii="Times New Roman" w:eastAsia="宋体" w:hAnsi="Times New Roman"/>
          <w:sz w:val="24"/>
        </w:rPr>
        <w:t>)</w:t>
      </w:r>
      <w:r w:rsidRPr="006720DB">
        <w:rPr>
          <w:rFonts w:ascii="Times New Roman" w:eastAsia="宋体" w:hAnsi="Times New Roman" w:hint="eastAsia"/>
          <w:sz w:val="24"/>
        </w:rPr>
        <w:t xml:space="preserve">. </w:t>
      </w:r>
      <w:r w:rsidRPr="006720DB">
        <w:rPr>
          <w:rFonts w:ascii="Times New Roman" w:eastAsia="宋体" w:hAnsi="Times New Roman" w:hint="eastAsia"/>
          <w:b/>
          <w:bCs/>
          <w:sz w:val="24"/>
        </w:rPr>
        <w:t>(F)</w:t>
      </w:r>
      <w:r w:rsidRPr="006720DB">
        <w:rPr>
          <w:rFonts w:ascii="Times New Roman" w:eastAsia="宋体" w:hAnsi="Times New Roman" w:hint="eastAsia"/>
          <w:sz w:val="24"/>
        </w:rPr>
        <w:t xml:space="preserve"> Relative </w:t>
      </w:r>
      <w:bookmarkStart w:id="0" w:name="_Hlk193133916"/>
      <w:r w:rsidRPr="006720DB">
        <w:rPr>
          <w:rFonts w:ascii="Times New Roman" w:eastAsia="宋体" w:hAnsi="Times New Roman" w:hint="eastAsia"/>
          <w:sz w:val="24"/>
        </w:rPr>
        <w:t>glutamine</w:t>
      </w:r>
      <w:bookmarkEnd w:id="0"/>
      <w:r w:rsidRPr="006720DB">
        <w:rPr>
          <w:rFonts w:ascii="Times New Roman" w:eastAsia="宋体" w:hAnsi="Times New Roman" w:hint="eastAsia"/>
          <w:sz w:val="24"/>
        </w:rPr>
        <w:t xml:space="preserve"> levels in liver tissue of mice from </w:t>
      </w:r>
      <w:r w:rsidRPr="006720DB">
        <w:rPr>
          <w:rFonts w:ascii="Times New Roman" w:eastAsia="宋体" w:hAnsi="Times New Roman" w:hint="eastAsia"/>
          <w:sz w:val="24"/>
        </w:rPr>
        <w:lastRenderedPageBreak/>
        <w:t>different groups (n=6). (</w:t>
      </w:r>
      <w:r w:rsidRPr="006720DB">
        <w:rPr>
          <w:rFonts w:ascii="Times New Roman" w:eastAsia="宋体" w:hAnsi="Times New Roman" w:hint="eastAsia"/>
          <w:b/>
          <w:bCs/>
          <w:sz w:val="24"/>
        </w:rPr>
        <w:t>G-L</w:t>
      </w:r>
      <w:r w:rsidRPr="006720DB">
        <w:rPr>
          <w:rFonts w:ascii="Times New Roman" w:eastAsia="宋体" w:hAnsi="Times New Roman" w:hint="eastAsia"/>
          <w:sz w:val="24"/>
        </w:rPr>
        <w:t xml:space="preserve">) </w:t>
      </w:r>
      <w:r w:rsidRPr="006720DB">
        <w:rPr>
          <w:rFonts w:ascii="Times New Roman" w:eastAsia="宋体" w:hAnsi="Times New Roman"/>
          <w:sz w:val="24"/>
        </w:rPr>
        <w:t>Analysis of liver weight (</w:t>
      </w:r>
      <w:r w:rsidRPr="006720DB">
        <w:rPr>
          <w:rFonts w:ascii="Times New Roman" w:eastAsia="宋体" w:hAnsi="Times New Roman" w:hint="eastAsia"/>
          <w:b/>
          <w:bCs/>
          <w:sz w:val="24"/>
        </w:rPr>
        <w:t>G</w:t>
      </w:r>
      <w:r w:rsidRPr="006720DB">
        <w:rPr>
          <w:rFonts w:ascii="Times New Roman" w:eastAsia="宋体" w:hAnsi="Times New Roman"/>
          <w:sz w:val="24"/>
        </w:rPr>
        <w:t>), liver weight-to-body weight ratio (</w:t>
      </w:r>
      <w:r w:rsidRPr="006720DB">
        <w:rPr>
          <w:rFonts w:ascii="Times New Roman" w:eastAsia="宋体" w:hAnsi="Times New Roman" w:hint="eastAsia"/>
          <w:b/>
          <w:bCs/>
          <w:sz w:val="24"/>
        </w:rPr>
        <w:t>H</w:t>
      </w:r>
      <w:r w:rsidRPr="006720DB">
        <w:rPr>
          <w:rFonts w:ascii="Times New Roman" w:eastAsia="宋体" w:hAnsi="Times New Roman"/>
          <w:sz w:val="24"/>
        </w:rPr>
        <w:t xml:space="preserve">), </w:t>
      </w:r>
      <w:r w:rsidRPr="006720DB">
        <w:rPr>
          <w:rFonts w:ascii="Times New Roman" w:eastAsia="宋体" w:hAnsi="Times New Roman" w:hint="eastAsia"/>
          <w:sz w:val="24"/>
        </w:rPr>
        <w:t xml:space="preserve">liver TG </w:t>
      </w:r>
      <w:r w:rsidRPr="006720DB">
        <w:rPr>
          <w:rFonts w:ascii="Times New Roman" w:eastAsia="宋体" w:hAnsi="Times New Roman" w:hint="eastAsia"/>
          <w:b/>
          <w:bCs/>
          <w:sz w:val="24"/>
        </w:rPr>
        <w:t>(I)</w:t>
      </w:r>
      <w:r w:rsidRPr="006720DB">
        <w:rPr>
          <w:rFonts w:ascii="Times New Roman" w:eastAsia="宋体" w:hAnsi="Times New Roman" w:hint="eastAsia"/>
          <w:sz w:val="24"/>
        </w:rPr>
        <w:t xml:space="preserve"> and TC contents (</w:t>
      </w:r>
      <w:r w:rsidRPr="006720DB">
        <w:rPr>
          <w:rFonts w:ascii="Times New Roman" w:eastAsia="宋体" w:hAnsi="Times New Roman" w:hint="eastAsia"/>
          <w:b/>
          <w:bCs/>
          <w:sz w:val="24"/>
        </w:rPr>
        <w:t>G</w:t>
      </w:r>
      <w:r w:rsidRPr="006720DB">
        <w:rPr>
          <w:rFonts w:ascii="Times New Roman" w:eastAsia="宋体" w:hAnsi="Times New Roman" w:hint="eastAsia"/>
          <w:sz w:val="24"/>
        </w:rPr>
        <w:t xml:space="preserve">), and </w:t>
      </w:r>
      <w:r w:rsidRPr="006720DB">
        <w:rPr>
          <w:rFonts w:ascii="Times New Roman" w:eastAsia="宋体" w:hAnsi="Times New Roman"/>
          <w:sz w:val="24"/>
        </w:rPr>
        <w:t>serum AST(</w:t>
      </w:r>
      <w:r w:rsidRPr="006720DB">
        <w:rPr>
          <w:rFonts w:ascii="Times New Roman" w:eastAsia="宋体" w:hAnsi="Times New Roman" w:hint="eastAsia"/>
          <w:b/>
          <w:bCs/>
          <w:sz w:val="24"/>
        </w:rPr>
        <w:t>K</w:t>
      </w:r>
      <w:r w:rsidRPr="006720DB">
        <w:rPr>
          <w:rFonts w:ascii="Times New Roman" w:eastAsia="宋体" w:hAnsi="Times New Roman"/>
          <w:sz w:val="24"/>
        </w:rPr>
        <w:t>)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>and ALT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>levels (</w:t>
      </w:r>
      <w:r w:rsidRPr="006720DB">
        <w:rPr>
          <w:rFonts w:ascii="Times New Roman" w:eastAsia="宋体" w:hAnsi="Times New Roman" w:hint="eastAsia"/>
          <w:b/>
          <w:bCs/>
          <w:sz w:val="24"/>
        </w:rPr>
        <w:t>L</w:t>
      </w:r>
      <w:r w:rsidRPr="006720DB">
        <w:rPr>
          <w:rFonts w:ascii="Times New Roman" w:eastAsia="宋体" w:hAnsi="Times New Roman"/>
          <w:sz w:val="24"/>
        </w:rPr>
        <w:t>) in different groups</w:t>
      </w:r>
      <w:r w:rsidRPr="006720DB">
        <w:rPr>
          <w:rFonts w:ascii="Times New Roman" w:eastAsia="宋体" w:hAnsi="Times New Roman" w:hint="eastAsia"/>
          <w:sz w:val="24"/>
        </w:rPr>
        <w:t xml:space="preserve"> (n=6). 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(M-N) </w:t>
      </w:r>
      <w:r w:rsidRPr="006720DB">
        <w:rPr>
          <w:rFonts w:ascii="Times New Roman" w:eastAsia="宋体" w:hAnsi="Times New Roman" w:hint="eastAsia"/>
          <w:sz w:val="24"/>
        </w:rPr>
        <w:t xml:space="preserve">mRNA levels of inflammation and fibrosis related genes (n=6). HFHC: High fat and high cholesterol; SED: Sedentary group; EXE: Exercise group; AAV: Adeno-associated virus; LV: </w:t>
      </w:r>
      <w:r w:rsidRPr="006720DB">
        <w:rPr>
          <w:rFonts w:ascii="Times New Roman" w:eastAsia="宋体" w:hAnsi="Times New Roman"/>
          <w:sz w:val="24"/>
        </w:rPr>
        <w:t>lentivirus</w:t>
      </w:r>
      <w:r w:rsidRPr="006720DB">
        <w:rPr>
          <w:rFonts w:ascii="Times New Roman" w:eastAsia="宋体" w:hAnsi="Times New Roman" w:hint="eastAsia"/>
          <w:sz w:val="24"/>
        </w:rPr>
        <w:t xml:space="preserve">; EV: empty vector. **p&lt;0.01. </w:t>
      </w:r>
    </w:p>
    <w:p w:rsidR="00525BBB" w:rsidRDefault="00525BBB"/>
    <w:sectPr w:rsidR="00525B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2C19"/>
    <w:rsid w:val="00072C19"/>
    <w:rsid w:val="0052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2025-05-21T01:43:00Z</dcterms:created>
  <dcterms:modified xsi:type="dcterms:W3CDTF">2025-05-21T01:43:00Z</dcterms:modified>
</cp:coreProperties>
</file>