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AD" w:rsidRPr="005A4F7F" w:rsidRDefault="00B503AD" w:rsidP="00B503AD">
      <w:pPr>
        <w:rPr>
          <w:rFonts w:ascii="Aptos" w:hAnsi="Aptos"/>
          <w:sz w:val="28"/>
          <w:szCs w:val="28"/>
        </w:rPr>
      </w:pPr>
      <w:r w:rsidRPr="005A4F7F">
        <w:rPr>
          <w:rFonts w:ascii="Aptos" w:hAnsi="Aptos"/>
          <w:sz w:val="28"/>
          <w:szCs w:val="28"/>
        </w:rPr>
        <w:t>Supplementary Table1: antibodies used in this paper. IL: Interleukin, TNF: Tumour Necrosis Factor, HLA: Human Leukocyte Antigen, MerTK: MER Proto-Oncogene, Tyrosine Kinase, CD: cluster of differentiation</w:t>
      </w:r>
    </w:p>
    <w:tbl>
      <w:tblPr>
        <w:tblpPr w:leftFromText="180" w:rightFromText="180" w:vertAnchor="page" w:horzAnchor="margin" w:tblpY="3031"/>
        <w:tblW w:w="7120" w:type="dxa"/>
        <w:tblCellMar>
          <w:left w:w="0" w:type="dxa"/>
          <w:right w:w="0" w:type="dxa"/>
        </w:tblCellMar>
        <w:tblLook w:val="0420"/>
      </w:tblPr>
      <w:tblGrid>
        <w:gridCol w:w="1557"/>
        <w:gridCol w:w="2661"/>
        <w:gridCol w:w="2902"/>
      </w:tblGrid>
      <w:tr w:rsidR="00B503AD" w:rsidRPr="005A4F7F" w:rsidTr="00872103">
        <w:trPr>
          <w:trHeight w:val="60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MARKER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CATALOG #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FLUOROCHROMES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Viability dye</w:t>
            </w:r>
          </w:p>
        </w:tc>
        <w:tc>
          <w:tcPr>
            <w:tcW w:w="28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eBioscience/65-0866-14</w:t>
            </w:r>
          </w:p>
        </w:tc>
        <w:tc>
          <w:tcPr>
            <w:tcW w:w="23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eFluor 506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IL-10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BD/564802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BV605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TNF-a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BioLegend/502940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BV711</w:t>
            </w:r>
          </w:p>
        </w:tc>
      </w:tr>
      <w:tr w:rsidR="00B503AD" w:rsidRPr="005A4F7F" w:rsidTr="00872103">
        <w:trPr>
          <w:trHeight w:val="576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IL-6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BioLegend/501104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FITC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HLA-DR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eBioscience/45-9956-42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PerCP-Cy5.5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MerTK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  <w:lang w:val="tr-TR"/>
              </w:rPr>
              <w:t>R&amp;D/FAB8912A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APC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CD206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BioLegend/321132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AlexaFLuor 700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CD16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BD/560195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APC-H7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CD163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BD/556018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PE</w:t>
            </w:r>
          </w:p>
        </w:tc>
      </w:tr>
      <w:tr w:rsidR="00B503AD" w:rsidRPr="005A4F7F" w:rsidTr="00872103">
        <w:trPr>
          <w:trHeight w:val="532"/>
        </w:trPr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b/>
                <w:bCs/>
                <w:sz w:val="28"/>
                <w:szCs w:val="28"/>
              </w:rPr>
              <w:t>CD14</w:t>
            </w:r>
          </w:p>
        </w:tc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BD/557742</w:t>
            </w:r>
          </w:p>
        </w:tc>
        <w:tc>
          <w:tcPr>
            <w:tcW w:w="2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03AD" w:rsidRPr="005A4F7F" w:rsidRDefault="00B503AD" w:rsidP="00872103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5A4F7F">
              <w:rPr>
                <w:rFonts w:ascii="Aptos" w:hAnsi="Aptos"/>
                <w:sz w:val="28"/>
                <w:szCs w:val="28"/>
              </w:rPr>
              <w:t>PE-Cy7</w:t>
            </w:r>
          </w:p>
        </w:tc>
      </w:tr>
    </w:tbl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B503AD" w:rsidRPr="005A4F7F" w:rsidRDefault="00B503AD" w:rsidP="00B503AD">
      <w:pPr>
        <w:rPr>
          <w:rFonts w:ascii="Aptos" w:hAnsi="Aptos"/>
          <w:sz w:val="28"/>
          <w:szCs w:val="28"/>
        </w:rPr>
      </w:pPr>
    </w:p>
    <w:p w:rsidR="00623CA7" w:rsidRDefault="00623CA7"/>
    <w:sectPr w:rsidR="00623C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503AD"/>
    <w:rsid w:val="00623CA7"/>
    <w:rsid w:val="00B5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2025-06-19T12:08:00Z</dcterms:created>
  <dcterms:modified xsi:type="dcterms:W3CDTF">2025-06-19T12:08:00Z</dcterms:modified>
</cp:coreProperties>
</file>